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60" w:lineRule="exact"/>
        <w:jc w:val="center"/>
        <w:rPr>
          <w:rFonts w:ascii="Times New Roman" w:eastAsia="方正小标宋_GBK" w:cs="宋体" w:hAnsi="Times New Roman"/>
          <w:color w:val="000000"/>
          <w:kern w:val="0"/>
          <w:sz w:val="44"/>
          <w:szCs w:val="44"/>
        </w:rPr>
      </w:pPr>
      <w:bookmarkStart w:id="0" w:name="_GoBack"/>
      <w:bookmarkEnd w:id="0"/>
    </w:p>
    <w:p>
      <w:pPr>
        <w:spacing w:line="560" w:lineRule="exact"/>
        <w:jc w:val="center"/>
        <w:rPr>
          <w:rFonts w:ascii="Times New Roman" w:eastAsia="方正小标宋_GBK" w:cs="宋体" w:hAnsi="Times New Roman"/>
          <w:color w:val="000000"/>
          <w:kern w:val="0"/>
          <w:sz w:val="44"/>
          <w:szCs w:val="44"/>
        </w:rPr>
      </w:pPr>
      <w:r>
        <w:rPr>
          <w:rFonts w:ascii="Times New Roman" w:eastAsia="方正小标宋_GBK" w:cs="宋体" w:hAnsi="Times New Roman" w:hint="eastAsia"/>
          <w:color w:val="000000"/>
          <w:kern w:val="0"/>
          <w:sz w:val="44"/>
          <w:szCs w:val="44"/>
        </w:rPr>
        <w:t>石家庄海关关区2020年政府信息</w:t>
      </w:r>
    </w:p>
    <w:p>
      <w:pPr>
        <w:spacing w:line="560" w:lineRule="exact"/>
        <w:jc w:val="center"/>
        <w:rPr>
          <w:rFonts w:ascii="Times New Roman" w:eastAsia="方正小标宋_GBK" w:cs="宋体" w:hAnsi="Times New Roman"/>
          <w:color w:val="000000"/>
          <w:kern w:val="0"/>
          <w:sz w:val="44"/>
          <w:szCs w:val="44"/>
        </w:rPr>
      </w:pPr>
      <w:r>
        <w:rPr>
          <w:rFonts w:ascii="Times New Roman" w:eastAsia="方正小标宋_GBK" w:cs="宋体" w:hAnsi="Times New Roman" w:hint="eastAsia"/>
          <w:color w:val="000000"/>
          <w:kern w:val="0"/>
          <w:sz w:val="44"/>
          <w:szCs w:val="44"/>
        </w:rPr>
        <w:t>公开工作年度报告</w:t>
      </w:r>
    </w:p>
    <w:p>
      <w:pPr>
        <w:spacing w:line="560" w:lineRule="exact"/>
        <w:ind w:firstLineChars="200" w:firstLine="640"/>
        <w:rPr>
          <w:rFonts w:ascii="Times New Roman" w:eastAsia="方正黑体_GBK" w:cs="宋体" w:hAnsi="Times New Roman"/>
          <w:color w:val="000000"/>
          <w:kern w:val="0"/>
          <w:sz w:val="32"/>
          <w:szCs w:val="32"/>
        </w:rPr>
      </w:pPr>
    </w:p>
    <w:p>
      <w:pPr>
        <w:pStyle w:val="23"/>
        <w:spacing w:line="560" w:lineRule="exact"/>
        <w:ind w:firstLineChars="200" w:firstLine="640"/>
        <w:rPr>
          <w:rFonts w:ascii="Times New Roman" w:eastAsia="方正仿宋_GBK" w:cs="Times New Roman" w:hAnsi="Times New Roman"/>
          <w:color w:val="000000"/>
          <w:kern w:val="0"/>
          <w:sz w:val="32"/>
          <w:szCs w:val="32"/>
        </w:rPr>
      </w:pPr>
      <w:r>
        <w:rPr>
          <w:rFonts w:ascii="Times New Roman" w:eastAsia="方正仿宋_GBK" w:cs="Times New Roman" w:hAnsi="Times New Roman"/>
          <w:color w:val="000000"/>
          <w:kern w:val="0"/>
          <w:sz w:val="32"/>
          <w:szCs w:val="32"/>
        </w:rPr>
        <w:t>本报告根据《中华人民共和国政府信息公开条例》《国务院办公厅政府信息与政务公开办公室关于政府信息公开工作年度报告有关事项的通知》规定</w:t>
      </w:r>
      <w:r>
        <w:rPr>
          <w:rFonts w:ascii="Times New Roman" w:eastAsia="方正仿宋_GBK" w:cs="Times New Roman" w:hAnsi="Times New Roman" w:hint="eastAsia"/>
          <w:color w:val="000000"/>
          <w:kern w:val="0"/>
          <w:sz w:val="32"/>
          <w:szCs w:val="32"/>
        </w:rPr>
        <w:t>，梳理石家庄海关2020年度政府信息公开工作有关情况编制而成。</w:t>
      </w:r>
      <w:r>
        <w:rPr>
          <w:rFonts w:ascii="Times New Roman" w:eastAsia="方正仿宋_GBK" w:cs="Times New Roman" w:hAnsi="Times New Roman"/>
          <w:color w:val="000000"/>
          <w:kern w:val="0"/>
          <w:sz w:val="32"/>
          <w:szCs w:val="32"/>
        </w:rPr>
        <w:t>本报告中所列数据的统计期限自2020年1月1日起至2020年12月31日止。如对本报告有疑问</w:t>
      </w:r>
      <w:r>
        <w:rPr>
          <w:rFonts w:ascii="Times New Roman" w:eastAsia="方正仿宋_GBK" w:cs="Times New Roman" w:hAnsi="Times New Roman" w:hint="eastAsia"/>
          <w:color w:val="000000"/>
          <w:kern w:val="0"/>
          <w:sz w:val="32"/>
          <w:szCs w:val="32"/>
        </w:rPr>
        <w:t>或任何意见、建议</w:t>
      </w:r>
      <w:r>
        <w:rPr>
          <w:rFonts w:ascii="Times New Roman" w:eastAsia="方正仿宋_GBK" w:cs="Times New Roman" w:hAnsi="Times New Roman"/>
          <w:color w:val="000000"/>
          <w:kern w:val="0"/>
          <w:sz w:val="32"/>
          <w:szCs w:val="32"/>
        </w:rPr>
        <w:t>，请与石家庄海关办公室联系，地址：河北省石家庄市和平西路318号，邮编：050051，电话：0311-66709044，邮箱：sjzhgzhwgk@customs.gov.cn。</w:t>
      </w:r>
    </w:p>
    <w:p>
      <w:pPr>
        <w:spacing w:line="560" w:lineRule="exact"/>
        <w:ind w:firstLineChars="200" w:firstLine="640"/>
        <w:rPr>
          <w:rFonts w:ascii="Times New Roman" w:eastAsia="方正黑体_GBK" w:cs="宋体" w:hAnsi="Times New Roman"/>
          <w:color w:val="000000"/>
          <w:kern w:val="0"/>
          <w:sz w:val="32"/>
          <w:szCs w:val="32"/>
        </w:rPr>
      </w:pPr>
      <w:r>
        <w:rPr>
          <w:rFonts w:ascii="Times New Roman" w:eastAsia="方正黑体_GBK" w:cs="宋体" w:hAnsi="Times New Roman" w:hint="eastAsia"/>
          <w:color w:val="000000"/>
          <w:kern w:val="0"/>
          <w:sz w:val="32"/>
          <w:szCs w:val="32"/>
        </w:rPr>
        <w:t>一、总体情况</w:t>
      </w:r>
    </w:p>
    <w:p>
      <w:pPr>
        <w:spacing w:line="560" w:lineRule="exact"/>
        <w:ind w:firstLineChars="200" w:firstLine="640"/>
        <w:rPr>
          <w:rFonts w:ascii="Times New Roman" w:eastAsia="方正楷体_GBK" w:cs="宋体" w:hAnsi="Times New Roman"/>
          <w:color w:val="000000"/>
          <w:sz w:val="32"/>
          <w:szCs w:val="32"/>
        </w:rPr>
      </w:pPr>
      <w:r>
        <w:rPr>
          <w:rFonts w:ascii="Times New Roman" w:eastAsia="方正仿宋_GBK" w:cs="Times New Roman" w:hAnsi="Times New Roman"/>
          <w:sz w:val="32"/>
          <w:szCs w:val="32"/>
        </w:rPr>
        <w:t>2020年，石家庄海关始终坚持以习近平新时代中国特色社会主义思想为指引，深入学习贯彻党的十九大和十九届二</w:t>
      </w:r>
      <w:r>
        <w:rPr>
          <w:rFonts w:ascii="Times New Roman" w:eastAsia="方正仿宋_GBK" w:hAnsi="Times New Roman"/>
          <w:sz w:val="32"/>
          <w:szCs w:val="32"/>
        </w:rPr>
        <w:t>中、三中、四中、五中全会精神，全面贯彻落实《中华人民</w:t>
      </w:r>
      <w:r>
        <w:rPr>
          <w:rFonts w:ascii="Times New Roman" w:eastAsia="方正仿宋_GBK" w:cs="Times New Roman" w:hAnsi="Times New Roman"/>
          <w:sz w:val="32"/>
          <w:szCs w:val="32"/>
        </w:rPr>
        <w:t>共和国政府信息公开条例》</w:t>
      </w:r>
      <w:r>
        <w:rPr>
          <w:rFonts w:ascii="Times New Roman" w:eastAsia="方正仿宋_GBK" w:cs="Times New Roman" w:hAnsi="Times New Roman" w:hint="eastAsia"/>
          <w:sz w:val="32"/>
          <w:szCs w:val="32"/>
        </w:rPr>
        <w:t>，以及</w:t>
      </w:r>
      <w:r>
        <w:rPr>
          <w:rFonts w:ascii="Times New Roman" w:eastAsia="方正仿宋_GBK" w:cs="Times New Roman" w:hAnsi="Times New Roman"/>
          <w:sz w:val="32"/>
          <w:szCs w:val="32"/>
        </w:rPr>
        <w:t>《2020年海关政务公开工作要点》要求，扎实做好信息公开、平台</w:t>
      </w:r>
      <w:r>
        <w:rPr>
          <w:rFonts w:ascii="Times New Roman" w:eastAsia="方正仿宋_GBK" w:cs="Times New Roman" w:hAnsi="Times New Roman" w:hint="eastAsia"/>
          <w:sz w:val="32"/>
          <w:szCs w:val="32"/>
        </w:rPr>
        <w:t>建设</w:t>
      </w:r>
      <w:r>
        <w:rPr>
          <w:rFonts w:ascii="Times New Roman" w:eastAsia="方正仿宋_GBK" w:cs="Times New Roman" w:hAnsi="Times New Roman"/>
          <w:sz w:val="32"/>
          <w:szCs w:val="32"/>
        </w:rPr>
        <w:t>、</w:t>
      </w:r>
      <w:r>
        <w:rPr>
          <w:rFonts w:ascii="Times New Roman" w:eastAsia="方正仿宋_GBK" w:cs="Times New Roman" w:hAnsi="Times New Roman" w:hint="eastAsia"/>
          <w:sz w:val="32"/>
          <w:szCs w:val="32"/>
        </w:rPr>
        <w:t>制度</w:t>
      </w:r>
      <w:r>
        <w:rPr>
          <w:rFonts w:ascii="Times New Roman" w:eastAsia="方正仿宋_GBK" w:cs="Times New Roman" w:hAnsi="Times New Roman"/>
          <w:sz w:val="32"/>
          <w:szCs w:val="32"/>
        </w:rPr>
        <w:t>保障和队伍</w:t>
      </w:r>
      <w:r>
        <w:rPr>
          <w:rFonts w:ascii="Times New Roman" w:eastAsia="方正仿宋_GBK" w:cs="Times New Roman" w:hAnsi="Times New Roman" w:hint="eastAsia"/>
          <w:sz w:val="32"/>
          <w:szCs w:val="32"/>
        </w:rPr>
        <w:t>提升</w:t>
      </w:r>
      <w:r>
        <w:rPr>
          <w:rFonts w:ascii="Times New Roman" w:eastAsia="方正仿宋_GBK" w:cs="Times New Roman" w:hAnsi="Times New Roman"/>
          <w:sz w:val="32"/>
          <w:szCs w:val="32"/>
        </w:rPr>
        <w:t>工作。</w:t>
      </w:r>
    </w:p>
    <w:p>
      <w:pPr>
        <w:autoSpaceDN w:val="0"/>
        <w:spacing w:line="600" w:lineRule="exact"/>
        <w:ind w:firstLine="630"/>
      </w:pPr>
      <w:r>
        <w:rPr>
          <w:rFonts w:ascii="Times New Roman" w:eastAsia="方正楷体_GBK" w:cs="宋体" w:hAnsi="Times New Roman" w:hint="eastAsia"/>
          <w:color w:val="000000"/>
          <w:sz w:val="32"/>
          <w:szCs w:val="32"/>
        </w:rPr>
        <w:t>（一）加强重点领域主动公开。</w:t>
      </w:r>
      <w:r>
        <w:rPr>
          <w:rFonts w:ascii="Times New Roman" w:eastAsia="方正仿宋_GBK" w:cs="宋体" w:hAnsi="Times New Roman" w:hint="eastAsia"/>
          <w:color w:val="000000"/>
          <w:sz w:val="32"/>
          <w:szCs w:val="32"/>
        </w:rPr>
        <w:t>坚持“以公开为常态，不</w:t>
      </w:r>
      <w:r>
        <w:rPr>
          <w:rFonts w:ascii="Times New Roman" w:eastAsia="方正仿宋_GBK" w:cs="Times New Roman" w:hAnsi="Times New Roman" w:hint="eastAsia"/>
          <w:sz w:val="32"/>
          <w:szCs w:val="32"/>
        </w:rPr>
        <w:t>公开为例外”原则，着力推进决策、执行、管理、服务、结果“五公开”，加大政策解读力度，回应社会关切，保障进出口企业、人民群众、社会团体等的知情权、参与权、表达权、监督权。在石家庄海关门户网站主动公开海关政府信息</w:t>
      </w:r>
      <w:r>
        <w:rPr>
          <w:rFonts w:ascii="Times New Roman" w:eastAsia="方正仿宋_GBK" w:cs="Times New Roman" w:hAnsi="Times New Roman"/>
          <w:sz w:val="32"/>
          <w:szCs w:val="32"/>
        </w:rPr>
        <w:t>658</w:t>
      </w:r>
      <w:r>
        <w:rPr>
          <w:rFonts w:ascii="Times New Roman" w:eastAsia="方正仿宋_GBK" w:cs="Times New Roman" w:hAnsi="Times New Roman" w:hint="eastAsia"/>
          <w:sz w:val="32"/>
          <w:szCs w:val="32"/>
        </w:rPr>
        <w:t>条，法定主动公开事项：通知文件、规范性文件、政策解读、计划总结、预决算信息、收费公示、政府采购、拍卖信息、公务员考录、提案办理情况、应急预案、网站管理、行政执法公示全部按要求公开。结合“</w:t>
      </w:r>
      <w:r>
        <w:rPr>
          <w:rFonts w:ascii="Times New Roman" w:eastAsia="方正仿宋_GBK" w:cs="Times New Roman" w:hAnsi="Times New Roman"/>
          <w:sz w:val="32"/>
          <w:szCs w:val="32"/>
        </w:rPr>
        <w:t>4.26</w:t>
      </w:r>
      <w:r>
        <w:rPr>
          <w:rFonts w:ascii="Times New Roman" w:eastAsia="方正仿宋_GBK" w:cs="Times New Roman" w:hAnsi="Times New Roman" w:hint="eastAsia"/>
          <w:sz w:val="32"/>
          <w:szCs w:val="32"/>
        </w:rPr>
        <w:t>全国疟疾日”“科技宣传周”“网络安全宣传周”“</w:t>
      </w:r>
      <w:r>
        <w:rPr>
          <w:rFonts w:ascii="Times New Roman" w:eastAsia="方正仿宋_GBK" w:cs="Times New Roman" w:hAnsi="Times New Roman"/>
          <w:sz w:val="32"/>
          <w:szCs w:val="32"/>
        </w:rPr>
        <w:t>12.1</w:t>
      </w:r>
      <w:r>
        <w:rPr>
          <w:rFonts w:ascii="Times New Roman" w:eastAsia="方正仿宋_GBK" w:cs="Times New Roman" w:hAnsi="Times New Roman" w:hint="eastAsia"/>
          <w:sz w:val="32"/>
          <w:szCs w:val="32"/>
        </w:rPr>
        <w:t>世界艾滋病日”“</w:t>
      </w:r>
      <w:r>
        <w:rPr>
          <w:rFonts w:ascii="Times New Roman" w:eastAsia="方正仿宋_GBK" w:cs="Times New Roman" w:hAnsi="Times New Roman"/>
          <w:sz w:val="32"/>
          <w:szCs w:val="32"/>
        </w:rPr>
        <w:t>12.4</w:t>
      </w:r>
      <w:r>
        <w:rPr>
          <w:rFonts w:ascii="Times New Roman" w:eastAsia="方正仿宋_GBK" w:cs="Times New Roman" w:hAnsi="Times New Roman" w:hint="eastAsia"/>
          <w:sz w:val="32"/>
          <w:szCs w:val="32"/>
        </w:rPr>
        <w:t>宪法宣传日”“反走私宣传日”等主题活动，通过制作展板、印发宣传册、设置现场咨询台等形式进一步宣传法律法规和海关的工作职能。重点围绕报关业务、海关“放管服”改革、严禁“洋垃圾”入境、通关一体化、疫情防控、</w:t>
      </w:r>
      <w:r>
        <w:rPr>
          <w:rFonts w:ascii="Times New Roman" w:eastAsia="方正仿宋_GBK" w:cs="Times New Roman" w:hAnsi="Times New Roman"/>
          <w:sz w:val="32"/>
          <w:szCs w:val="32"/>
        </w:rPr>
        <w:t>促进外贸稳定增长、</w:t>
      </w:r>
      <w:r>
        <w:rPr>
          <w:rFonts w:ascii="Times New Roman" w:eastAsia="方正仿宋_GBK" w:cs="Times New Roman" w:hAnsi="Times New Roman" w:hint="eastAsia"/>
          <w:sz w:val="32"/>
          <w:szCs w:val="32"/>
        </w:rPr>
        <w:t>减税降费、优化企业注销办理流程等方面，在报关大厅公告板和电子显示屏及时公开海关业务规定和政策信息，同时加大政策解读力度，组织政策宣讲，</w:t>
      </w:r>
      <w:r>
        <w:rPr>
          <w:rFonts w:ascii="Times New Roman" w:eastAsia="方正仿宋_GBK" w:hAnsi="Times New Roman" w:hint="eastAsia"/>
          <w:color w:val="000000"/>
          <w:sz w:val="32"/>
          <w:szCs w:val="32"/>
        </w:rPr>
        <w:t>与地方政府部门联合举办外贸政策线上培训会，</w:t>
      </w:r>
      <w:r>
        <w:rPr>
          <w:rFonts w:ascii="Times New Roman" w:eastAsia="方正仿宋_GBK" w:hAnsi="Times New Roman" w:hint="eastAsia"/>
          <w:color w:val="000000"/>
          <w:spacing w:val="-4"/>
          <w:sz w:val="32"/>
          <w:szCs w:val="32"/>
        </w:rPr>
        <w:t>组织辖区进出口企业参加</w:t>
      </w:r>
      <w:r>
        <w:rPr>
          <w:rFonts w:ascii="Times New Roman" w:eastAsia="方正仿宋_GBK" w:hAnsi="Times New Roman" w:hint="eastAsia"/>
          <w:sz w:val="32"/>
          <w:szCs w:val="32"/>
        </w:rPr>
        <w:t>技术性贸易措施政策宣讲视频会，</w:t>
      </w:r>
      <w:r>
        <w:rPr>
          <w:rFonts w:ascii="Times New Roman" w:eastAsia="方正仿宋_GBK" w:cs="Times New Roman" w:hAnsi="Times New Roman" w:hint="eastAsia"/>
          <w:sz w:val="32"/>
          <w:szCs w:val="32"/>
        </w:rPr>
        <w:t>确保海关政策及时解读、及时公开、广泛宣传。</w:t>
      </w:r>
    </w:p>
    <w:p>
      <w:pPr>
        <w:spacing w:line="560" w:lineRule="exact"/>
        <w:ind w:firstLineChars="200" w:firstLine="640"/>
        <w:rPr>
          <w:rFonts w:ascii="Times New Roman" w:eastAsia="方正仿宋_GBK" w:cs="宋体" w:hAnsi="Times New Roman"/>
          <w:color w:val="000000"/>
          <w:kern w:val="0"/>
          <w:sz w:val="32"/>
          <w:szCs w:val="32"/>
        </w:rPr>
      </w:pPr>
      <w:r>
        <w:rPr>
          <w:rFonts w:ascii="Times New Roman" w:eastAsia="方正楷体_GBK" w:cs="宋体" w:hAnsi="Times New Roman" w:hint="eastAsia"/>
          <w:color w:val="000000"/>
          <w:kern w:val="0"/>
          <w:sz w:val="32"/>
          <w:szCs w:val="32"/>
        </w:rPr>
        <w:t>（二）依法依规办理依申请公开。</w:t>
      </w:r>
      <w:r>
        <w:rPr>
          <w:rFonts w:ascii="Times New Roman" w:eastAsia="方正仿宋_GBK" w:cs="宋体" w:hAnsi="Times New Roman" w:hint="eastAsia"/>
          <w:color w:val="000000"/>
          <w:kern w:val="0"/>
          <w:sz w:val="32"/>
          <w:szCs w:val="32"/>
        </w:rPr>
        <w:t>修订公开《海关政府信息公开指南》，完善信息公开申请渠道，统一开通政府信息公开专用邮箱，明确专人负责信息公开咨询受理工作，确保信息公开申请渠道畅通有效。梳理修订了石家庄海关依申请公开答复流程和文书模版，推动依申请公开答复类型化、规范化。针对</w:t>
      </w:r>
      <w:r>
        <w:rPr>
          <w:rFonts w:ascii="Times New Roman" w:eastAsia="方正仿宋_GBK" w:cs="Times New Roman" w:hAnsi="Times New Roman" w:hint="eastAsia"/>
          <w:sz w:val="32"/>
          <w:szCs w:val="32"/>
        </w:rPr>
        <w:t>依申请公开信息中涉及的法律审查要素，</w:t>
      </w:r>
      <w:r>
        <w:rPr>
          <w:rFonts w:ascii="Times New Roman" w:eastAsia="方正仿宋_GBK" w:cs="Times New Roman" w:hAnsi="Times New Roman"/>
          <w:sz w:val="32"/>
          <w:szCs w:val="32"/>
        </w:rPr>
        <w:t>强化</w:t>
      </w:r>
      <w:r>
        <w:rPr>
          <w:rFonts w:ascii="Times New Roman" w:eastAsia="方正仿宋_GBK" w:cs="Times New Roman" w:hAnsi="Times New Roman" w:hint="eastAsia"/>
          <w:sz w:val="32"/>
          <w:szCs w:val="32"/>
        </w:rPr>
        <w:t>法律把关，推动石家庄海关政府信息公开工作依法依规。</w:t>
      </w:r>
      <w:r>
        <w:rPr>
          <w:rFonts w:ascii="Times New Roman" w:eastAsia="方正仿宋_GBK" w:cs="宋体" w:hAnsi="Times New Roman" w:hint="eastAsia"/>
          <w:color w:val="000000"/>
          <w:kern w:val="0"/>
          <w:sz w:val="32"/>
          <w:szCs w:val="32"/>
        </w:rPr>
        <w:t>全年结转上年依申请公开1件，新</w:t>
      </w:r>
      <w:r>
        <w:rPr>
          <w:rFonts w:ascii="Times New Roman" w:eastAsia="方正仿宋_GBK" w:cs="宋体" w:hAnsi="Times New Roman"/>
          <w:color w:val="000000"/>
          <w:kern w:val="0"/>
          <w:sz w:val="32"/>
          <w:szCs w:val="32"/>
        </w:rPr>
        <w:t>收</w:t>
      </w:r>
      <w:r>
        <w:rPr>
          <w:rFonts w:ascii="Times New Roman" w:eastAsia="方正仿宋_GBK" w:cs="宋体" w:hAnsi="Times New Roman" w:hint="eastAsia"/>
          <w:color w:val="000000"/>
          <w:kern w:val="0"/>
          <w:sz w:val="32"/>
          <w:szCs w:val="32"/>
        </w:rPr>
        <w:t>到依申请公开5件，全部在规定时限内答复办结，未发生政府信息公开行政复议、行政诉讼情况。</w:t>
      </w:r>
    </w:p>
    <w:p>
      <w:pPr>
        <w:spacing w:line="560" w:lineRule="exact"/>
        <w:ind w:firstLineChars="200" w:firstLine="640"/>
        <w:rPr>
          <w:rFonts w:ascii="Times New Roman" w:eastAsia="方正仿宋_GBK" w:hAnsi="Times New Roman"/>
          <w:sz w:val="32"/>
          <w:szCs w:val="32"/>
        </w:rPr>
      </w:pPr>
      <w:r>
        <w:rPr>
          <w:rFonts w:ascii="Times New Roman" w:eastAsia="方正楷体_GBK" w:cs="宋体" w:hAnsi="Times New Roman" w:hint="eastAsia"/>
          <w:color w:val="000000"/>
          <w:kern w:val="0"/>
          <w:sz w:val="32"/>
          <w:szCs w:val="32"/>
        </w:rPr>
        <w:t>（三）规范政府信息管理。</w:t>
      </w:r>
      <w:r>
        <w:rPr>
          <w:rFonts w:ascii="方正仿宋_GBK" w:eastAsia="方正仿宋_GBK" w:cs="宋体" w:hint="eastAsia"/>
          <w:color w:val="000000"/>
          <w:kern w:val="0"/>
          <w:sz w:val="32"/>
          <w:szCs w:val="32"/>
        </w:rPr>
        <w:t>及时</w:t>
      </w:r>
      <w:r>
        <w:rPr>
          <w:rFonts w:ascii="Times New Roman" w:eastAsia="方正仿宋_GBK" w:hAnsi="Times New Roman" w:hint="eastAsia"/>
          <w:sz w:val="32"/>
          <w:szCs w:val="32"/>
        </w:rPr>
        <w:t>调整石家庄海关政务公开领导小组，明确关长任组长，分管办公室工作关领导任副组长，机关各部门、单位，各隶属海关主要负责人为成员。修订公</w:t>
      </w:r>
      <w:r>
        <w:rPr>
          <w:rFonts w:ascii="Times New Roman" w:eastAsia="方正仿宋_GBK" w:cs="方正仿宋_GBK" w:hAnsi="Times New Roman" w:hint="eastAsia"/>
          <w:sz w:val="32"/>
          <w:szCs w:val="32"/>
        </w:rPr>
        <w:t>开了《石家庄海关政府信息公开指南》，修订印发了</w:t>
      </w:r>
      <w:r>
        <w:rPr>
          <w:rFonts w:ascii="Times New Roman" w:eastAsia="方正仿宋_GBK" w:hAnsi="Times New Roman" w:hint="eastAsia"/>
          <w:sz w:val="32"/>
          <w:szCs w:val="32"/>
        </w:rPr>
        <w:t>《石家庄海关政府信息公开工作规程》和《石家庄海关政府信息公开审查规程》，制定印发了《石家庄海关</w:t>
      </w:r>
      <w:r>
        <w:rPr>
          <w:rFonts w:ascii="Times New Roman" w:eastAsia="方正仿宋_GBK" w:hAnsi="Times New Roman"/>
          <w:sz w:val="32"/>
          <w:szCs w:val="32"/>
        </w:rPr>
        <w:t>12360</w:t>
      </w:r>
      <w:r>
        <w:rPr>
          <w:rFonts w:ascii="Times New Roman" w:eastAsia="方正仿宋_GBK" w:hAnsi="Times New Roman" w:hint="eastAsia"/>
          <w:sz w:val="32"/>
          <w:szCs w:val="32"/>
        </w:rPr>
        <w:t>热线工作规程》，组建了</w:t>
      </w:r>
      <w:r>
        <w:rPr>
          <w:rFonts w:ascii="Times New Roman" w:eastAsia="方正仿宋_GBK" w:hAnsi="Times New Roman"/>
          <w:sz w:val="32"/>
          <w:szCs w:val="32"/>
        </w:rPr>
        <w:t>12360</w:t>
      </w:r>
      <w:r>
        <w:rPr>
          <w:rFonts w:ascii="Times New Roman" w:eastAsia="方正仿宋_GBK" w:hAnsi="Times New Roman" w:hint="eastAsia"/>
          <w:sz w:val="32"/>
          <w:szCs w:val="32"/>
        </w:rPr>
        <w:t>热线后台专家团队。在上述工作规程中，增加了回避制度和必要时职能处室把关的要求，进一步规范了政务公开</w:t>
      </w:r>
      <w:r>
        <w:rPr>
          <w:rFonts w:ascii="Times New Roman" w:eastAsia="方正仿宋_GBK" w:cs="方正仿宋_GBK" w:hAnsi="Times New Roman" w:hint="eastAsia"/>
          <w:sz w:val="32"/>
          <w:szCs w:val="32"/>
        </w:rPr>
        <w:t>登记、审核、办理、答复、归档等工作流程</w:t>
      </w:r>
      <w:r>
        <w:rPr>
          <w:rFonts w:ascii="Times New Roman" w:eastAsia="方正仿宋_GBK" w:hAnsi="Times New Roman" w:hint="eastAsia"/>
          <w:sz w:val="32"/>
          <w:szCs w:val="32"/>
        </w:rPr>
        <w:t>和</w:t>
      </w:r>
      <w:r>
        <w:rPr>
          <w:rFonts w:ascii="Times New Roman" w:eastAsia="方正仿宋_GBK" w:hAnsi="Times New Roman"/>
          <w:sz w:val="32"/>
          <w:szCs w:val="32"/>
        </w:rPr>
        <w:t>12360</w:t>
      </w:r>
      <w:r>
        <w:rPr>
          <w:rFonts w:ascii="Times New Roman" w:eastAsia="方正仿宋_GBK" w:hAnsi="Times New Roman" w:hint="eastAsia"/>
          <w:sz w:val="32"/>
          <w:szCs w:val="32"/>
        </w:rPr>
        <w:t>热线受理、答复、转办等工作流程。</w:t>
      </w:r>
    </w:p>
    <w:p>
      <w:pPr>
        <w:spacing w:line="560" w:lineRule="exact"/>
        <w:ind w:firstLineChars="200" w:firstLine="640"/>
        <w:rPr>
          <w:rFonts w:ascii="Times New Roman" w:eastAsia="方正仿宋_GBK" w:hAnsi="Times New Roman"/>
          <w:sz w:val="32"/>
          <w:szCs w:val="32"/>
        </w:rPr>
      </w:pPr>
      <w:r>
        <w:rPr>
          <w:rFonts w:ascii="Times New Roman" w:eastAsia="方正楷体_GBK" w:cs="宋体" w:hAnsi="Times New Roman" w:hint="eastAsia"/>
          <w:color w:val="000000"/>
          <w:sz w:val="32"/>
          <w:szCs w:val="32"/>
        </w:rPr>
        <w:t>（四）优化信息公开平台建设。</w:t>
      </w:r>
      <w:r>
        <w:rPr>
          <w:rFonts w:ascii="Times New Roman" w:eastAsia="方正仿宋_GBK" w:cs="宋体" w:hAnsi="Times New Roman" w:hint="eastAsia"/>
          <w:color w:val="000000"/>
          <w:sz w:val="32"/>
          <w:szCs w:val="32"/>
        </w:rPr>
        <w:t>按照国办政务公开和门户网站考核评估指标，在规定时限内完成石家庄海关</w:t>
      </w:r>
      <w:r>
        <w:rPr>
          <w:rFonts w:ascii="Times New Roman" w:eastAsia="方正仿宋_GBK" w:cs="宋体" w:hAnsi="Times New Roman"/>
          <w:color w:val="000000"/>
          <w:sz w:val="32"/>
          <w:szCs w:val="32"/>
        </w:rPr>
        <w:t>互联网</w:t>
      </w:r>
      <w:r>
        <w:rPr>
          <w:rFonts w:ascii="Times New Roman" w:eastAsia="方正仿宋_GBK" w:cs="宋体" w:hAnsi="Times New Roman" w:hint="eastAsia"/>
          <w:color w:val="000000"/>
          <w:sz w:val="32"/>
          <w:szCs w:val="32"/>
        </w:rPr>
        <w:t>门户网站政府信息公开专栏改版。</w:t>
      </w:r>
      <w:r>
        <w:rPr>
          <w:rFonts w:ascii="Times New Roman" w:eastAsia="方正仿宋_GBK" w:hAnsi="Times New Roman" w:hint="eastAsia"/>
          <w:sz w:val="32"/>
          <w:szCs w:val="32"/>
        </w:rPr>
        <w:t>增设行政执法公示专栏，推动行政执法事前、事中、事后全链条公开。在门户网站首页增设疫情防控和“六稳”“六保”专栏，实现疫情防控和“六稳”“六保”政策措施公开。</w:t>
      </w:r>
      <w:r>
        <w:rPr>
          <w:rFonts w:ascii="Times New Roman" w:eastAsia="方正仿宋_GBK" w:cs="宋体" w:hAnsi="Times New Roman" w:hint="eastAsia"/>
          <w:color w:val="000000"/>
          <w:sz w:val="32"/>
          <w:szCs w:val="32"/>
        </w:rPr>
        <w:t>发挥12360热线咨询服务平台作用，全年</w:t>
      </w:r>
      <w:r>
        <w:rPr>
          <w:rFonts w:ascii="Times New Roman" w:eastAsia="方正仿宋_GBK" w:hAnsi="Times New Roman" w:hint="eastAsia"/>
          <w:sz w:val="32"/>
          <w:szCs w:val="32"/>
        </w:rPr>
        <w:t>受理热线电话18410个，接通率98.98%，答复率100%，受理门户网站业务咨询138件，实现内外网联动，网站业务咨询的办理效率和答复质量均有较大提升。部分隶属海关已</w:t>
      </w:r>
      <w:r>
        <w:rPr>
          <w:rFonts w:ascii="方正仿宋_GBK" w:eastAsia="方正仿宋_GBK" w:hint="eastAsia"/>
          <w:color w:val="000000"/>
          <w:kern w:val="0"/>
          <w:sz w:val="32"/>
          <w:szCs w:val="32"/>
        </w:rPr>
        <w:t>接</w:t>
      </w:r>
      <w:r>
        <w:rPr>
          <w:rFonts w:ascii="方正仿宋_GBK" w:eastAsia="方正仿宋_GBK" w:hint="eastAsia"/>
          <w:sz w:val="32"/>
          <w:szCs w:val="32"/>
        </w:rPr>
        <w:t>通政务服务专网，</w:t>
      </w:r>
      <w:r>
        <w:rPr>
          <w:rFonts w:ascii="Times New Roman" w:eastAsia="方正仿宋_GBK" w:cs="方正仿宋_GBK" w:hAnsi="Times New Roman"/>
          <w:sz w:val="32"/>
          <w:szCs w:val="32"/>
        </w:rPr>
        <w:t>推进</w:t>
      </w:r>
      <w:r>
        <w:rPr>
          <w:rFonts w:ascii="Times New Roman" w:eastAsia="方正仿宋_GBK" w:cs="方正仿宋_GBK" w:hAnsi="Times New Roman" w:hint="eastAsia"/>
          <w:sz w:val="32"/>
          <w:szCs w:val="32"/>
        </w:rPr>
        <w:t>口岸卫生许可“证照分离”，完善“一个窗口”服务，</w:t>
      </w:r>
      <w:r>
        <w:rPr>
          <w:rFonts w:ascii="方正仿宋_GBK" w:eastAsia="方正仿宋_GBK" w:hint="eastAsia"/>
          <w:sz w:val="32"/>
          <w:szCs w:val="32"/>
        </w:rPr>
        <w:t>推广“互联网+海关”办事功能，</w:t>
      </w:r>
      <w:r>
        <w:rPr>
          <w:rFonts w:ascii="Times New Roman" w:eastAsia="方正仿宋_GBK" w:cs="方正仿宋_GBK" w:hAnsi="Times New Roman" w:hint="eastAsia"/>
          <w:sz w:val="32"/>
          <w:szCs w:val="32"/>
        </w:rPr>
        <w:t>通过公示办事流程、简化材料、在线审核等一系列举措，</w:t>
      </w:r>
      <w:r>
        <w:rPr>
          <w:rFonts w:ascii="方正仿宋_GBK" w:eastAsia="方正仿宋_GBK" w:hint="eastAsia"/>
          <w:sz w:val="32"/>
          <w:szCs w:val="32"/>
        </w:rPr>
        <w:t>让企业和群众办事更明白、更便捷。</w:t>
      </w:r>
    </w:p>
    <w:p>
      <w:pPr>
        <w:spacing w:line="560" w:lineRule="exact"/>
        <w:ind w:firstLineChars="200" w:firstLine="640"/>
        <w:rPr>
          <w:rFonts w:ascii="Times New Roman" w:eastAsia="方正仿宋_GBK" w:cs="宋体" w:hAnsi="Times New Roman"/>
          <w:color w:val="000000"/>
          <w:sz w:val="32"/>
          <w:szCs w:val="32"/>
        </w:rPr>
      </w:pPr>
      <w:r>
        <w:rPr>
          <w:rFonts w:ascii="Times New Roman" w:eastAsia="方正楷体_GBK" w:cs="宋体" w:hAnsi="Times New Roman" w:hint="eastAsia"/>
          <w:color w:val="000000"/>
          <w:sz w:val="32"/>
          <w:szCs w:val="32"/>
        </w:rPr>
        <w:t>（五）落实监督保障措施。</w:t>
      </w:r>
      <w:r>
        <w:rPr>
          <w:rFonts w:ascii="Times New Roman" w:eastAsia="方正仿宋_GBK" w:cs="宋体" w:hAnsi="Times New Roman" w:hint="eastAsia"/>
          <w:color w:val="000000"/>
          <w:sz w:val="32"/>
          <w:szCs w:val="32"/>
        </w:rPr>
        <w:t>探索建立政府信息公开工作绩效考核、年度通报、任务分解“三位一体”工作机制，细化落实任务目标，明确岗位责任，</w:t>
      </w:r>
      <w:r>
        <w:rPr>
          <w:rFonts w:ascii="Times New Roman" w:eastAsia="方正仿宋_GBK" w:hAnsi="Times New Roman" w:hint="eastAsia"/>
          <w:sz w:val="32"/>
          <w:szCs w:val="32"/>
        </w:rPr>
        <w:t>进一步推动政府信息公开工作标准化和规范化。</w:t>
      </w:r>
      <w:r>
        <w:rPr>
          <w:rFonts w:ascii="Times New Roman" w:eastAsia="方正仿宋_GBK" w:cs="宋体" w:hAnsi="Times New Roman" w:hint="eastAsia"/>
          <w:color w:val="000000"/>
          <w:sz w:val="32"/>
          <w:szCs w:val="32"/>
        </w:rPr>
        <w:t>不折不扣落实海关总署和地方政府监督考核，邀请特邀监督员对政府信息公开工作进行督导、点评，对外公开监督电话，及时收集整理社会各界对海关工作的意见建议，在职责范围内，做好答复工作。</w:t>
      </w:r>
      <w:r>
        <w:rPr>
          <w:rFonts w:ascii="Times New Roman" w:eastAsia="方正仿宋_GBK" w:cs="Times New Roman" w:hAnsi="Times New Roman" w:hint="eastAsia"/>
          <w:sz w:val="32"/>
          <w:szCs w:val="32"/>
        </w:rPr>
        <w:t>关区范围</w:t>
      </w:r>
      <w:r>
        <w:rPr>
          <w:rFonts w:ascii="Times New Roman" w:eastAsia="方正仿宋_GBK" w:hAnsi="Times New Roman" w:hint="eastAsia"/>
          <w:sz w:val="32"/>
          <w:szCs w:val="32"/>
        </w:rPr>
        <w:t>组织开展政府信息公开工作培训1次，就信息公开理论梳理、实操训练和典型案例进行专题培训，各隶属海关分别就新版《条例》、制度规范、办理流程和重点工作内容等进行了再培训再学习，有效提升了政府信息公开工作人员业务水平。</w:t>
      </w:r>
    </w:p>
    <w:p>
      <w:pPr>
        <w:pStyle w:val="26"/>
        <w:autoSpaceDN w:val="0"/>
        <w:adjustRightInd w:val="0"/>
        <w:snapToGrid w:val="0"/>
        <w:spacing w:beforeLines="50" w:before="156" w:afterLines="50" w:after="156"/>
        <w:ind w:firstLineChars="200" w:firstLine="624"/>
        <w:rPr>
          <w:rFonts w:eastAsia="方正黑体_GBK" w:cs="楷体_GB2312"/>
          <w:bCs/>
          <w:szCs w:val="32"/>
          <w:shd w:val="clear" w:color="auto" w:fill="FFFFFF"/>
        </w:rPr>
      </w:pPr>
      <w:r>
        <w:rPr>
          <w:rFonts w:eastAsia="方正黑体_GBK" w:cs="楷体_GB2312" w:hint="eastAsia"/>
          <w:bCs/>
          <w:szCs w:val="32"/>
          <w:shd w:val="clear" w:color="auto" w:fill="FFFFFF"/>
        </w:rPr>
        <w:t>二、主动公开政府信息情况</w:t>
      </w:r>
    </w:p>
    <w:tbl>
      <w:tblPr>
        <w:jc w:val="center"/>
        <w:tblW w:w="8995"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2720"/>
        <w:gridCol w:w="2183"/>
        <w:gridCol w:w="1936"/>
        <w:gridCol w:w="2156"/>
      </w:tblGrid>
      <w:tr>
        <w:trPr>
          <w:trHeight w:val="495"/>
        </w:trPr>
        <w:tc>
          <w:tcPr>
            <w:tcW w:w="8995" w:type="dxa"/>
            <w:gridSpan w:val="4"/>
            <w:tcBorders>
              <w:top w:val="single" w:sz="8" w:space="0" w:color="auto"/>
              <w:left w:val="single" w:sz="8" w:space="0" w:color="auto"/>
              <w:bottom w:val="single" w:sz="8" w:space="0" w:color="auto"/>
              <w:right w:val="single" w:sz="8" w:space="0" w:color="auto"/>
            </w:tcBorders>
            <w:shd w:val="clear" w:color="auto" w:fill="C6D9F1"/>
            <w:tcMar>
              <w:left w:w="108" w:type="dxa"/>
              <w:right w:w="108" w:type="dxa"/>
            </w:tcMar>
            <w:vAlign w:val="center"/>
          </w:tcPr>
          <w:p>
            <w:pPr>
              <w:pStyle w:val="25"/>
              <w:widowControl/>
              <w:autoSpaceDN w:val="0"/>
              <w:spacing w:line="560" w:lineRule="exact"/>
              <w:jc w:val="center"/>
              <w:rPr>
                <w:sz w:val="24"/>
                <w:szCs w:val="24"/>
              </w:rPr>
            </w:pPr>
            <w:r>
              <w:rPr>
                <w:rFonts w:cs="宋体" w:hint="eastAsia"/>
                <w:kern w:val="0"/>
                <w:sz w:val="24"/>
                <w:szCs w:val="24"/>
              </w:rPr>
              <w:t>第二十条第（一）项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line="560" w:lineRule="exact"/>
              <w:jc w:val="center"/>
              <w:rPr>
                <w:sz w:val="24"/>
                <w:szCs w:val="24"/>
              </w:rPr>
            </w:pPr>
            <w:r>
              <w:rPr>
                <w:rFonts w:cs="宋体" w:hint="eastAsia"/>
                <w:kern w:val="0"/>
                <w:sz w:val="24"/>
                <w:szCs w:val="24"/>
              </w:rPr>
              <w:t>信息内容</w:t>
            </w:r>
          </w:p>
        </w:tc>
        <w:tc>
          <w:tcPr>
            <w:tcW w:w="218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line="560" w:lineRule="exact"/>
              <w:jc w:val="center"/>
              <w:rPr>
                <w:sz w:val="24"/>
                <w:szCs w:val="24"/>
              </w:rPr>
            </w:pPr>
            <w:r>
              <w:rPr>
                <w:rFonts w:cs="宋体" w:hint="eastAsia"/>
                <w:kern w:val="0"/>
                <w:sz w:val="24"/>
                <w:szCs w:val="24"/>
              </w:rPr>
              <w:t>本年新</w:t>
            </w:r>
            <w:r>
              <w:rPr>
                <w:rFonts w:hint="eastAsia"/>
                <w:kern w:val="0"/>
                <w:sz w:val="24"/>
                <w:szCs w:val="24"/>
              </w:rPr>
              <w:t>制作数量</w:t>
            </w:r>
          </w:p>
        </w:tc>
        <w:tc>
          <w:tcPr>
            <w:tcW w:w="193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line="560" w:lineRule="exact"/>
              <w:jc w:val="center"/>
              <w:rPr>
                <w:sz w:val="24"/>
                <w:szCs w:val="24"/>
              </w:rPr>
            </w:pPr>
            <w:r>
              <w:rPr>
                <w:rFonts w:cs="宋体" w:hint="eastAsia"/>
                <w:kern w:val="0"/>
                <w:sz w:val="24"/>
                <w:szCs w:val="24"/>
              </w:rPr>
              <w:t>本年新</w:t>
            </w:r>
            <w:r>
              <w:rPr>
                <w:rFonts w:hint="eastAsia"/>
                <w:kern w:val="0"/>
                <w:sz w:val="24"/>
                <w:szCs w:val="24"/>
              </w:rPr>
              <w:t>公开数量</w:t>
            </w:r>
          </w:p>
        </w:tc>
        <w:tc>
          <w:tcPr>
            <w:tcW w:w="2156" w:type="dxa"/>
            <w:tcBorders>
              <w:top w:val="nil"/>
              <w:left w:val="nil"/>
              <w:bottom w:val="single" w:sz="8" w:space="0" w:color="auto"/>
              <w:right w:val="single" w:sz="8" w:space="0" w:color="auto"/>
            </w:tcBorders>
            <w:shd w:val="clear" w:color="auto" w:fill="auto"/>
            <w:vAlign w:val="center"/>
          </w:tcPr>
          <w:p>
            <w:pPr>
              <w:pStyle w:val="25"/>
              <w:widowControl/>
              <w:autoSpaceDN w:val="0"/>
              <w:spacing w:line="560" w:lineRule="exact"/>
              <w:jc w:val="center"/>
              <w:rPr>
                <w:sz w:val="24"/>
                <w:szCs w:val="24"/>
              </w:rPr>
            </w:pPr>
            <w:r>
              <w:rPr>
                <w:rFonts w:cs="宋体" w:hint="eastAsia"/>
                <w:kern w:val="0"/>
                <w:sz w:val="24"/>
                <w:szCs w:val="24"/>
              </w:rPr>
              <w:t>对外公开总数量</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5"/>
              <w:widowControl/>
              <w:autoSpaceDN w:val="0"/>
              <w:adjustRightInd w:val="0"/>
              <w:snapToGrid w:val="0"/>
              <w:spacing w:line="560" w:lineRule="exact"/>
              <w:jc w:val="left"/>
              <w:rPr>
                <w:sz w:val="24"/>
                <w:szCs w:val="24"/>
              </w:rPr>
            </w:pPr>
            <w:r>
              <w:rPr>
                <w:rFonts w:cs="宋体" w:hint="eastAsia"/>
                <w:kern w:val="0"/>
                <w:sz w:val="24"/>
                <w:szCs w:val="24"/>
              </w:rPr>
              <w:t>规章</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193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2156" w:type="dxa"/>
            <w:tcBorders>
              <w:top w:val="nil"/>
              <w:left w:val="nil"/>
              <w:bottom w:val="single" w:sz="8" w:space="0" w:color="auto"/>
              <w:right w:val="single" w:sz="8" w:space="0" w:color="auto"/>
            </w:tcBorders>
            <w:shd w:val="clear" w:color="auto" w:fill="auto"/>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5"/>
              <w:widowControl/>
              <w:autoSpaceDN w:val="0"/>
              <w:adjustRightInd w:val="0"/>
              <w:snapToGrid w:val="0"/>
              <w:spacing w:line="560" w:lineRule="exact"/>
              <w:jc w:val="left"/>
              <w:rPr>
                <w:sz w:val="24"/>
                <w:szCs w:val="24"/>
              </w:rPr>
            </w:pPr>
            <w:r>
              <w:rPr>
                <w:rFonts w:cs="宋体" w:hint="eastAsia"/>
                <w:kern w:val="0"/>
                <w:sz w:val="24"/>
                <w:szCs w:val="24"/>
              </w:rPr>
              <w:t>规范性文件</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2</w:t>
            </w:r>
          </w:p>
        </w:tc>
        <w:tc>
          <w:tcPr>
            <w:tcW w:w="193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2</w:t>
            </w:r>
          </w:p>
        </w:tc>
        <w:tc>
          <w:tcPr>
            <w:tcW w:w="2156" w:type="dxa"/>
            <w:tcBorders>
              <w:top w:val="nil"/>
              <w:left w:val="nil"/>
              <w:bottom w:val="single" w:sz="8" w:space="0" w:color="auto"/>
              <w:right w:val="single" w:sz="8" w:space="0" w:color="auto"/>
            </w:tcBorders>
            <w:shd w:val="clear" w:color="auto" w:fill="auto"/>
            <w:vAlign w:val="center"/>
          </w:tcPr>
          <w:p>
            <w:pPr>
              <w:pStyle w:val="25"/>
              <w:autoSpaceDN w:val="0"/>
              <w:spacing w:line="560" w:lineRule="exact"/>
              <w:jc w:val="center"/>
              <w:rPr>
                <w:rFonts w:eastAsia="方正仿宋_GBK"/>
                <w:sz w:val="24"/>
                <w:szCs w:val="24"/>
              </w:rPr>
            </w:pPr>
            <w:r>
              <w:rPr>
                <w:rFonts w:eastAsia="方正仿宋_GBK" w:hint="eastAsia"/>
                <w:sz w:val="24"/>
                <w:szCs w:val="24"/>
              </w:rPr>
              <w:t>8</w:t>
            </w:r>
          </w:p>
        </w:tc>
      </w:tr>
      <w:tr>
        <w:trPr>
          <w:trHeight w:val="435"/>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25"/>
              <w:widowControl/>
              <w:autoSpaceDN w:val="0"/>
              <w:spacing w:line="560" w:lineRule="exact"/>
              <w:jc w:val="center"/>
              <w:rPr>
                <w:sz w:val="24"/>
                <w:szCs w:val="24"/>
              </w:rPr>
            </w:pPr>
            <w:r>
              <w:rPr>
                <w:rFonts w:cs="宋体" w:hint="eastAsia"/>
                <w:kern w:val="0"/>
                <w:sz w:val="24"/>
                <w:szCs w:val="24"/>
              </w:rPr>
              <w:t>第二十条第（五）项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5"/>
              <w:widowControl/>
              <w:autoSpaceDN w:val="0"/>
              <w:adjustRightInd w:val="0"/>
              <w:snapToGrid w:val="0"/>
              <w:spacing w:line="560" w:lineRule="exact"/>
              <w:jc w:val="center"/>
              <w:rPr>
                <w:sz w:val="24"/>
                <w:szCs w:val="24"/>
              </w:rPr>
            </w:pPr>
            <w:r>
              <w:rPr>
                <w:rFonts w:cs="宋体" w:hint="eastAsia"/>
                <w:kern w:val="0"/>
                <w:sz w:val="24"/>
                <w:szCs w:val="24"/>
              </w:rPr>
              <w:t>信息内容</w:t>
            </w:r>
          </w:p>
        </w:tc>
        <w:tc>
          <w:tcPr>
            <w:tcW w:w="218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adjustRightInd w:val="0"/>
              <w:snapToGrid w:val="0"/>
              <w:spacing w:line="560" w:lineRule="exact"/>
              <w:jc w:val="center"/>
              <w:rPr>
                <w:sz w:val="24"/>
                <w:szCs w:val="24"/>
              </w:rPr>
            </w:pPr>
            <w:r>
              <w:rPr>
                <w:rFonts w:cs="宋体" w:hint="eastAsia"/>
                <w:kern w:val="0"/>
                <w:sz w:val="24"/>
                <w:szCs w:val="24"/>
              </w:rPr>
              <w:t>本年项目数量</w:t>
            </w:r>
          </w:p>
        </w:tc>
        <w:tc>
          <w:tcPr>
            <w:tcW w:w="193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adjustRightInd w:val="0"/>
              <w:snapToGrid w:val="0"/>
              <w:spacing w:line="560" w:lineRule="exact"/>
              <w:jc w:val="center"/>
              <w:rPr>
                <w:sz w:val="24"/>
                <w:szCs w:val="24"/>
              </w:rPr>
            </w:pPr>
            <w:r>
              <w:rPr>
                <w:rFonts w:cs="宋体" w:hint="eastAsia"/>
                <w:kern w:val="0"/>
                <w:sz w:val="24"/>
                <w:szCs w:val="24"/>
              </w:rPr>
              <w:t>相比上年增/减</w:t>
            </w:r>
          </w:p>
        </w:tc>
        <w:tc>
          <w:tcPr>
            <w:tcW w:w="2156" w:type="dxa"/>
            <w:tcBorders>
              <w:top w:val="nil"/>
              <w:left w:val="nil"/>
              <w:bottom w:val="single" w:sz="8" w:space="0" w:color="auto"/>
              <w:right w:val="single" w:sz="8" w:space="0" w:color="auto"/>
            </w:tcBorders>
            <w:shd w:val="clear" w:color="auto" w:fill="auto"/>
            <w:vAlign w:val="center"/>
          </w:tcPr>
          <w:p>
            <w:pPr>
              <w:pStyle w:val="25"/>
              <w:widowControl/>
              <w:autoSpaceDN w:val="0"/>
              <w:adjustRightInd w:val="0"/>
              <w:snapToGrid w:val="0"/>
              <w:spacing w:line="560" w:lineRule="exact"/>
              <w:jc w:val="center"/>
              <w:rPr>
                <w:sz w:val="24"/>
                <w:szCs w:val="24"/>
              </w:rPr>
            </w:pPr>
            <w:r>
              <w:rPr>
                <w:rFonts w:cs="宋体" w:hint="eastAsia"/>
                <w:kern w:val="0"/>
                <w:sz w:val="24"/>
                <w:szCs w:val="24"/>
              </w:rPr>
              <w:t>处理决定数量</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5"/>
              <w:widowControl/>
              <w:autoSpaceDN w:val="0"/>
              <w:adjustRightInd w:val="0"/>
              <w:snapToGrid w:val="0"/>
              <w:spacing w:line="560" w:lineRule="exact"/>
              <w:jc w:val="left"/>
              <w:rPr>
                <w:sz w:val="24"/>
                <w:szCs w:val="24"/>
              </w:rPr>
            </w:pPr>
            <w:r>
              <w:rPr>
                <w:rFonts w:cs="宋体" w:hint="eastAsia"/>
                <w:kern w:val="0"/>
                <w:sz w:val="24"/>
                <w:szCs w:val="24"/>
              </w:rPr>
              <w:t>行政许可</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cs="宋体"/>
                <w:sz w:val="24"/>
                <w:szCs w:val="24"/>
              </w:rPr>
            </w:pPr>
            <w:r>
              <w:rPr>
                <w:rFonts w:eastAsia="方正仿宋_GBK" w:cs="宋体" w:hint="eastAsia"/>
                <w:sz w:val="24"/>
                <w:szCs w:val="24"/>
              </w:rPr>
              <w:t>10</w:t>
            </w:r>
          </w:p>
        </w:tc>
        <w:tc>
          <w:tcPr>
            <w:tcW w:w="193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cs="宋体"/>
                <w:sz w:val="24"/>
                <w:szCs w:val="24"/>
              </w:rPr>
            </w:pPr>
            <w:r>
              <w:rPr>
                <w:rFonts w:eastAsia="方正仿宋_GBK" w:cs="宋体" w:hint="eastAsia"/>
                <w:sz w:val="24"/>
                <w:szCs w:val="24"/>
              </w:rPr>
              <w:t>0</w:t>
            </w:r>
          </w:p>
        </w:tc>
        <w:tc>
          <w:tcPr>
            <w:tcW w:w="2156" w:type="dxa"/>
            <w:tcBorders>
              <w:top w:val="nil"/>
              <w:left w:val="nil"/>
              <w:bottom w:val="single" w:sz="8" w:space="0" w:color="auto"/>
              <w:right w:val="single" w:sz="8" w:space="0" w:color="auto"/>
            </w:tcBorders>
            <w:shd w:val="clear" w:color="auto" w:fill="auto"/>
            <w:vAlign w:val="center"/>
          </w:tcPr>
          <w:p>
            <w:pPr>
              <w:pStyle w:val="25"/>
              <w:autoSpaceDN w:val="0"/>
              <w:spacing w:line="560" w:lineRule="exact"/>
              <w:jc w:val="center"/>
              <w:rPr>
                <w:rFonts w:eastAsia="方正仿宋_GBK" w:cs="宋体"/>
                <w:sz w:val="24"/>
                <w:szCs w:val="24"/>
              </w:rPr>
            </w:pPr>
            <w:r>
              <w:rPr>
                <w:rFonts w:eastAsia="方正仿宋_GBK" w:cs="宋体" w:hint="eastAsia"/>
                <w:sz w:val="24"/>
                <w:szCs w:val="24"/>
              </w:rPr>
              <w:t>2291</w:t>
            </w:r>
          </w:p>
        </w:tc>
      </w:tr>
      <w:tr>
        <w:trPr>
          <w:trHeight w:val="406"/>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25"/>
              <w:widowControl/>
              <w:autoSpaceDN w:val="0"/>
              <w:spacing w:line="560" w:lineRule="exact"/>
              <w:jc w:val="center"/>
              <w:rPr>
                <w:sz w:val="24"/>
                <w:szCs w:val="24"/>
              </w:rPr>
            </w:pPr>
            <w:r>
              <w:rPr>
                <w:rFonts w:cs="宋体" w:hint="eastAsia"/>
                <w:kern w:val="0"/>
                <w:sz w:val="24"/>
                <w:szCs w:val="24"/>
              </w:rPr>
              <w:t>第二十条第（六）项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5"/>
              <w:widowControl/>
              <w:autoSpaceDN w:val="0"/>
              <w:adjustRightInd w:val="0"/>
              <w:snapToGrid w:val="0"/>
              <w:spacing w:line="560" w:lineRule="exact"/>
              <w:jc w:val="center"/>
              <w:rPr>
                <w:sz w:val="24"/>
                <w:szCs w:val="24"/>
              </w:rPr>
            </w:pPr>
            <w:r>
              <w:rPr>
                <w:rFonts w:cs="宋体" w:hint="eastAsia"/>
                <w:kern w:val="0"/>
                <w:sz w:val="24"/>
                <w:szCs w:val="24"/>
              </w:rPr>
              <w:t>信息内容</w:t>
            </w:r>
          </w:p>
        </w:tc>
        <w:tc>
          <w:tcPr>
            <w:tcW w:w="218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adjustRightInd w:val="0"/>
              <w:snapToGrid w:val="0"/>
              <w:spacing w:line="560" w:lineRule="exact"/>
              <w:jc w:val="center"/>
              <w:rPr>
                <w:sz w:val="24"/>
                <w:szCs w:val="24"/>
              </w:rPr>
            </w:pPr>
            <w:r>
              <w:rPr>
                <w:rFonts w:cs="宋体" w:hint="eastAsia"/>
                <w:kern w:val="0"/>
                <w:sz w:val="24"/>
                <w:szCs w:val="24"/>
              </w:rPr>
              <w:t>本年项目数量</w:t>
            </w:r>
          </w:p>
        </w:tc>
        <w:tc>
          <w:tcPr>
            <w:tcW w:w="193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adjustRightInd w:val="0"/>
              <w:snapToGrid w:val="0"/>
              <w:spacing w:line="560" w:lineRule="exact"/>
              <w:jc w:val="center"/>
              <w:rPr>
                <w:sz w:val="24"/>
                <w:szCs w:val="24"/>
              </w:rPr>
            </w:pPr>
            <w:r>
              <w:rPr>
                <w:rFonts w:cs="宋体" w:hint="eastAsia"/>
                <w:kern w:val="0"/>
                <w:sz w:val="24"/>
                <w:szCs w:val="24"/>
              </w:rPr>
              <w:t>相比上年增/减</w:t>
            </w:r>
          </w:p>
        </w:tc>
        <w:tc>
          <w:tcPr>
            <w:tcW w:w="2156" w:type="dxa"/>
            <w:tcBorders>
              <w:top w:val="nil"/>
              <w:left w:val="nil"/>
              <w:bottom w:val="single" w:sz="8" w:space="0" w:color="auto"/>
              <w:right w:val="single" w:sz="8" w:space="0" w:color="auto"/>
            </w:tcBorders>
            <w:shd w:val="clear" w:color="auto" w:fill="auto"/>
            <w:vAlign w:val="center"/>
          </w:tcPr>
          <w:p>
            <w:pPr>
              <w:pStyle w:val="25"/>
              <w:widowControl/>
              <w:autoSpaceDN w:val="0"/>
              <w:adjustRightInd w:val="0"/>
              <w:snapToGrid w:val="0"/>
              <w:spacing w:line="560" w:lineRule="exact"/>
              <w:jc w:val="center"/>
              <w:rPr>
                <w:sz w:val="24"/>
                <w:szCs w:val="24"/>
              </w:rPr>
            </w:pPr>
            <w:r>
              <w:rPr>
                <w:rFonts w:cs="宋体" w:hint="eastAsia"/>
                <w:kern w:val="0"/>
                <w:sz w:val="24"/>
                <w:szCs w:val="24"/>
              </w:rPr>
              <w:t>处理决定数量</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5"/>
              <w:widowControl/>
              <w:autoSpaceDN w:val="0"/>
              <w:adjustRightInd w:val="0"/>
              <w:snapToGrid w:val="0"/>
              <w:spacing w:line="560" w:lineRule="exact"/>
              <w:jc w:val="left"/>
              <w:rPr>
                <w:sz w:val="24"/>
                <w:szCs w:val="24"/>
              </w:rPr>
            </w:pPr>
            <w:r>
              <w:rPr>
                <w:rFonts w:cs="宋体" w:hint="eastAsia"/>
                <w:kern w:val="0"/>
                <w:sz w:val="24"/>
                <w:szCs w:val="24"/>
              </w:rPr>
              <w:t>行政处罚</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cs="宋体"/>
                <w:sz w:val="24"/>
                <w:szCs w:val="24"/>
              </w:rPr>
            </w:pPr>
            <w:r>
              <w:rPr>
                <w:rFonts w:eastAsia="方正仿宋_GBK" w:cs="宋体" w:hint="eastAsia"/>
                <w:sz w:val="24"/>
                <w:szCs w:val="24"/>
              </w:rPr>
              <w:t>7</w:t>
            </w:r>
          </w:p>
        </w:tc>
        <w:tc>
          <w:tcPr>
            <w:tcW w:w="193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cs="宋体"/>
                <w:sz w:val="24"/>
                <w:szCs w:val="24"/>
              </w:rPr>
            </w:pPr>
            <w:r>
              <w:rPr>
                <w:rFonts w:eastAsia="方正仿宋_GBK" w:cs="宋体" w:hint="eastAsia"/>
                <w:sz w:val="24"/>
                <w:szCs w:val="24"/>
              </w:rPr>
              <w:t>0</w:t>
            </w:r>
          </w:p>
        </w:tc>
        <w:tc>
          <w:tcPr>
            <w:tcW w:w="2156" w:type="dxa"/>
            <w:tcBorders>
              <w:top w:val="nil"/>
              <w:left w:val="nil"/>
              <w:bottom w:val="single" w:sz="8" w:space="0" w:color="auto"/>
              <w:right w:val="single" w:sz="8" w:space="0" w:color="auto"/>
            </w:tcBorders>
            <w:shd w:val="clear" w:color="auto" w:fill="auto"/>
            <w:vAlign w:val="center"/>
          </w:tcPr>
          <w:p>
            <w:pPr>
              <w:pStyle w:val="25"/>
              <w:autoSpaceDN w:val="0"/>
              <w:spacing w:line="560" w:lineRule="exact"/>
              <w:jc w:val="center"/>
              <w:rPr>
                <w:rFonts w:eastAsia="方正仿宋_GBK" w:cs="宋体"/>
                <w:sz w:val="24"/>
                <w:szCs w:val="24"/>
              </w:rPr>
            </w:pPr>
            <w:r>
              <w:rPr>
                <w:rFonts w:eastAsia="方正仿宋_GBK" w:cs="宋体" w:hint="eastAsia"/>
                <w:sz w:val="24"/>
                <w:szCs w:val="24"/>
              </w:rPr>
              <w:t>187</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5"/>
              <w:widowControl/>
              <w:autoSpaceDN w:val="0"/>
              <w:adjustRightInd w:val="0"/>
              <w:snapToGrid w:val="0"/>
              <w:spacing w:line="560" w:lineRule="exact"/>
              <w:jc w:val="left"/>
              <w:rPr>
                <w:sz w:val="24"/>
                <w:szCs w:val="24"/>
              </w:rPr>
            </w:pPr>
            <w:r>
              <w:rPr>
                <w:rFonts w:cs="宋体" w:hint="eastAsia"/>
                <w:kern w:val="0"/>
                <w:sz w:val="24"/>
                <w:szCs w:val="24"/>
              </w:rPr>
              <w:t>行政强制</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cs="宋体"/>
                <w:sz w:val="24"/>
                <w:szCs w:val="24"/>
              </w:rPr>
            </w:pPr>
            <w:r>
              <w:rPr>
                <w:rFonts w:eastAsia="方正仿宋_GBK" w:cs="宋体" w:hint="eastAsia"/>
                <w:sz w:val="24"/>
                <w:szCs w:val="24"/>
              </w:rPr>
              <w:t>16</w:t>
            </w:r>
          </w:p>
        </w:tc>
        <w:tc>
          <w:tcPr>
            <w:tcW w:w="193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cs="宋体"/>
                <w:sz w:val="24"/>
                <w:szCs w:val="24"/>
              </w:rPr>
            </w:pPr>
            <w:r>
              <w:rPr>
                <w:rFonts w:eastAsia="方正仿宋_GBK" w:cs="宋体" w:hint="eastAsia"/>
                <w:sz w:val="24"/>
                <w:szCs w:val="24"/>
              </w:rPr>
              <w:t>0</w:t>
            </w:r>
          </w:p>
        </w:tc>
        <w:tc>
          <w:tcPr>
            <w:tcW w:w="2156" w:type="dxa"/>
            <w:tcBorders>
              <w:top w:val="nil"/>
              <w:left w:val="nil"/>
              <w:bottom w:val="single" w:sz="8" w:space="0" w:color="auto"/>
              <w:right w:val="single" w:sz="8" w:space="0" w:color="auto"/>
            </w:tcBorders>
            <w:shd w:val="clear" w:color="auto" w:fill="auto"/>
            <w:vAlign w:val="center"/>
          </w:tcPr>
          <w:p>
            <w:pPr>
              <w:pStyle w:val="25"/>
              <w:autoSpaceDN w:val="0"/>
              <w:spacing w:line="560" w:lineRule="exact"/>
              <w:jc w:val="center"/>
              <w:rPr>
                <w:rFonts w:eastAsia="方正仿宋_GBK" w:cs="宋体"/>
                <w:sz w:val="24"/>
                <w:szCs w:val="24"/>
              </w:rPr>
            </w:pPr>
            <w:r>
              <w:rPr>
                <w:rFonts w:eastAsia="方正仿宋_GBK" w:cs="宋体" w:hint="eastAsia"/>
                <w:sz w:val="24"/>
                <w:szCs w:val="24"/>
              </w:rPr>
              <w:t>5</w:t>
            </w:r>
          </w:p>
        </w:tc>
      </w:tr>
      <w:tr>
        <w:trPr>
          <w:trHeight w:val="474"/>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25"/>
              <w:widowControl/>
              <w:autoSpaceDN w:val="0"/>
              <w:spacing w:line="560" w:lineRule="exact"/>
              <w:jc w:val="center"/>
              <w:rPr>
                <w:sz w:val="24"/>
                <w:szCs w:val="24"/>
              </w:rPr>
            </w:pPr>
            <w:r>
              <w:rPr>
                <w:rFonts w:cs="宋体" w:hint="eastAsia"/>
                <w:kern w:val="0"/>
                <w:sz w:val="24"/>
                <w:szCs w:val="24"/>
              </w:rPr>
              <w:t>第二十条第（八）项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5"/>
              <w:widowControl/>
              <w:autoSpaceDN w:val="0"/>
              <w:adjustRightInd w:val="0"/>
              <w:snapToGrid w:val="0"/>
              <w:spacing w:line="560" w:lineRule="exact"/>
              <w:jc w:val="center"/>
              <w:rPr>
                <w:sz w:val="24"/>
                <w:szCs w:val="24"/>
              </w:rPr>
            </w:pPr>
            <w:r>
              <w:rPr>
                <w:rFonts w:cs="宋体" w:hint="eastAsia"/>
                <w:kern w:val="0"/>
                <w:sz w:val="24"/>
                <w:szCs w:val="24"/>
              </w:rPr>
              <w:t>信息内容</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adjustRightInd w:val="0"/>
              <w:snapToGrid w:val="0"/>
              <w:spacing w:line="560" w:lineRule="exact"/>
              <w:jc w:val="center"/>
              <w:rPr>
                <w:sz w:val="24"/>
                <w:szCs w:val="24"/>
              </w:rPr>
            </w:pPr>
            <w:r>
              <w:rPr>
                <w:rFonts w:cs="宋体" w:hint="eastAsia"/>
                <w:kern w:val="0"/>
                <w:sz w:val="24"/>
                <w:szCs w:val="24"/>
              </w:rPr>
              <w:t>本年项目数量</w:t>
            </w:r>
          </w:p>
        </w:tc>
        <w:tc>
          <w:tcPr>
            <w:tcW w:w="4092" w:type="dxa"/>
            <w:gridSpan w:val="2"/>
            <w:tcBorders>
              <w:top w:val="single" w:sz="8" w:space="0" w:color="auto"/>
              <w:left w:val="nil"/>
              <w:bottom w:val="single" w:sz="8" w:space="0" w:color="auto"/>
              <w:right w:val="single" w:sz="8" w:space="0" w:color="000000"/>
            </w:tcBorders>
            <w:shd w:val="clear" w:color="auto" w:fill="auto"/>
            <w:tcMar>
              <w:left w:w="108" w:type="dxa"/>
              <w:right w:w="108" w:type="dxa"/>
            </w:tcMar>
            <w:vAlign w:val="center"/>
          </w:tcPr>
          <w:p>
            <w:pPr>
              <w:pStyle w:val="25"/>
              <w:widowControl/>
              <w:autoSpaceDN w:val="0"/>
              <w:adjustRightInd w:val="0"/>
              <w:snapToGrid w:val="0"/>
              <w:spacing w:line="560" w:lineRule="exact"/>
              <w:jc w:val="center"/>
              <w:rPr>
                <w:sz w:val="24"/>
                <w:szCs w:val="24"/>
              </w:rPr>
            </w:pPr>
            <w:r>
              <w:rPr>
                <w:rFonts w:cs="宋体" w:hint="eastAsia"/>
                <w:kern w:val="0"/>
                <w:sz w:val="24"/>
                <w:szCs w:val="24"/>
              </w:rPr>
              <w:t>相比上年增/减</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5"/>
              <w:widowControl/>
              <w:autoSpaceDN w:val="0"/>
              <w:adjustRightInd w:val="0"/>
              <w:snapToGrid w:val="0"/>
              <w:spacing w:line="560" w:lineRule="exact"/>
              <w:jc w:val="left"/>
            </w:pPr>
            <w:r>
              <w:rPr>
                <w:rFonts w:cs="宋体" w:hint="eastAsia"/>
                <w:kern w:val="0"/>
                <w:sz w:val="24"/>
                <w:szCs w:val="24"/>
              </w:rPr>
              <w:t>行政事业性收费</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cs="宋体"/>
                <w:sz w:val="24"/>
                <w:szCs w:val="24"/>
              </w:rPr>
            </w:pPr>
            <w:r>
              <w:rPr>
                <w:rFonts w:eastAsia="方正仿宋_GBK" w:cs="宋体" w:hint="eastAsia"/>
                <w:sz w:val="24"/>
                <w:szCs w:val="24"/>
              </w:rPr>
              <w:t>0</w:t>
            </w:r>
          </w:p>
        </w:tc>
        <w:tc>
          <w:tcPr>
            <w:tcW w:w="4092" w:type="dxa"/>
            <w:gridSpan w:val="2"/>
            <w:tcBorders>
              <w:top w:val="nil"/>
              <w:left w:val="nil"/>
              <w:bottom w:val="single" w:sz="8" w:space="0" w:color="auto"/>
              <w:right w:val="single" w:sz="8" w:space="0" w:color="000000"/>
            </w:tcBorders>
            <w:shd w:val="clear" w:color="auto" w:fill="auto"/>
            <w:tcMar>
              <w:left w:w="108" w:type="dxa"/>
              <w:right w:w="108" w:type="dxa"/>
            </w:tcMar>
            <w:vAlign w:val="center"/>
          </w:tcPr>
          <w:p>
            <w:pPr>
              <w:pStyle w:val="25"/>
              <w:autoSpaceDN w:val="0"/>
              <w:spacing w:line="560" w:lineRule="exact"/>
              <w:jc w:val="center"/>
              <w:rPr>
                <w:rFonts w:eastAsia="方正仿宋_GBK" w:cs="宋体"/>
                <w:sz w:val="24"/>
                <w:szCs w:val="24"/>
              </w:rPr>
            </w:pPr>
            <w:r>
              <w:rPr>
                <w:rFonts w:eastAsia="方正仿宋_GBK" w:cs="宋体" w:hint="eastAsia"/>
                <w:sz w:val="24"/>
                <w:szCs w:val="24"/>
              </w:rPr>
              <w:t>0</w:t>
            </w:r>
          </w:p>
        </w:tc>
      </w:tr>
      <w:tr>
        <w:trPr>
          <w:trHeight w:val="476"/>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25"/>
              <w:widowControl/>
              <w:autoSpaceDN w:val="0"/>
              <w:spacing w:line="560" w:lineRule="exact"/>
              <w:jc w:val="center"/>
              <w:rPr>
                <w:sz w:val="24"/>
                <w:szCs w:val="24"/>
              </w:rPr>
            </w:pPr>
            <w:r>
              <w:rPr>
                <w:rFonts w:cs="宋体" w:hint="eastAsia"/>
                <w:kern w:val="0"/>
                <w:sz w:val="24"/>
                <w:szCs w:val="24"/>
              </w:rPr>
              <w:t>第二十条第（九）项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5"/>
              <w:widowControl/>
              <w:autoSpaceDN w:val="0"/>
              <w:adjustRightInd w:val="0"/>
              <w:snapToGrid w:val="0"/>
              <w:spacing w:line="560" w:lineRule="exact"/>
              <w:jc w:val="center"/>
              <w:rPr>
                <w:sz w:val="24"/>
                <w:szCs w:val="24"/>
              </w:rPr>
            </w:pPr>
            <w:r>
              <w:rPr>
                <w:rFonts w:cs="宋体" w:hint="eastAsia"/>
                <w:kern w:val="0"/>
                <w:sz w:val="24"/>
                <w:szCs w:val="24"/>
              </w:rPr>
              <w:t>信息内容</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adjustRightInd w:val="0"/>
              <w:snapToGrid w:val="0"/>
              <w:spacing w:line="560" w:lineRule="exact"/>
              <w:jc w:val="center"/>
              <w:rPr>
                <w:sz w:val="24"/>
                <w:szCs w:val="24"/>
              </w:rPr>
            </w:pPr>
            <w:r>
              <w:rPr>
                <w:rFonts w:cs="宋体" w:hint="eastAsia"/>
                <w:kern w:val="0"/>
                <w:sz w:val="24"/>
                <w:szCs w:val="24"/>
              </w:rPr>
              <w:t>采购项目数量</w:t>
            </w:r>
          </w:p>
        </w:tc>
        <w:tc>
          <w:tcPr>
            <w:tcW w:w="4092" w:type="dxa"/>
            <w:gridSpan w:val="2"/>
            <w:tcBorders>
              <w:top w:val="single" w:sz="8" w:space="0" w:color="auto"/>
              <w:left w:val="nil"/>
              <w:bottom w:val="single" w:sz="8" w:space="0" w:color="auto"/>
              <w:right w:val="single" w:sz="8" w:space="0" w:color="000000"/>
            </w:tcBorders>
            <w:shd w:val="clear" w:color="auto" w:fill="auto"/>
            <w:tcMar>
              <w:left w:w="108" w:type="dxa"/>
              <w:right w:w="108" w:type="dxa"/>
            </w:tcMar>
            <w:vAlign w:val="center"/>
          </w:tcPr>
          <w:p>
            <w:pPr>
              <w:pStyle w:val="25"/>
              <w:widowControl/>
              <w:autoSpaceDN w:val="0"/>
              <w:adjustRightInd w:val="0"/>
              <w:snapToGrid w:val="0"/>
              <w:spacing w:line="560" w:lineRule="exact"/>
              <w:jc w:val="center"/>
              <w:rPr>
                <w:sz w:val="24"/>
                <w:szCs w:val="24"/>
              </w:rPr>
            </w:pPr>
            <w:r>
              <w:rPr>
                <w:rFonts w:cs="宋体" w:hint="eastAsia"/>
                <w:kern w:val="0"/>
                <w:sz w:val="24"/>
                <w:szCs w:val="24"/>
              </w:rPr>
              <w:t>采购总金额（万元）</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5"/>
              <w:widowControl/>
              <w:autoSpaceDN w:val="0"/>
              <w:adjustRightInd w:val="0"/>
              <w:snapToGrid w:val="0"/>
              <w:spacing w:line="560" w:lineRule="exact"/>
              <w:jc w:val="left"/>
              <w:rPr>
                <w:sz w:val="24"/>
                <w:szCs w:val="24"/>
                <w:highlight w:val="yellow"/>
              </w:rPr>
            </w:pPr>
            <w:r>
              <w:rPr>
                <w:rFonts w:cs="宋体" w:hint="eastAsia"/>
                <w:kern w:val="0"/>
                <w:sz w:val="24"/>
                <w:szCs w:val="24"/>
              </w:rPr>
              <w:t>政府集中采购</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cs="宋体"/>
                <w:sz w:val="24"/>
                <w:szCs w:val="24"/>
              </w:rPr>
            </w:pPr>
            <w:r>
              <w:rPr>
                <w:rFonts w:eastAsia="方正仿宋_GBK" w:cs="宋体" w:hint="eastAsia"/>
                <w:sz w:val="24"/>
                <w:szCs w:val="24"/>
              </w:rPr>
              <w:t>26</w:t>
            </w:r>
          </w:p>
        </w:tc>
        <w:tc>
          <w:tcPr>
            <w:tcW w:w="4092" w:type="dxa"/>
            <w:gridSpan w:val="2"/>
            <w:tcBorders>
              <w:top w:val="nil"/>
              <w:left w:val="nil"/>
              <w:bottom w:val="single" w:sz="8" w:space="0" w:color="auto"/>
              <w:right w:val="single" w:sz="8" w:space="0" w:color="000000"/>
            </w:tcBorders>
            <w:shd w:val="clear" w:color="auto" w:fill="auto"/>
            <w:tcMar>
              <w:left w:w="108" w:type="dxa"/>
              <w:right w:w="108" w:type="dxa"/>
            </w:tcMar>
            <w:vAlign w:val="center"/>
          </w:tcPr>
          <w:p>
            <w:pPr>
              <w:pStyle w:val="25"/>
              <w:autoSpaceDN w:val="0"/>
              <w:spacing w:line="560" w:lineRule="exact"/>
              <w:jc w:val="center"/>
              <w:rPr>
                <w:rFonts w:eastAsia="方正仿宋_GBK" w:cs="宋体"/>
                <w:sz w:val="24"/>
                <w:szCs w:val="24"/>
              </w:rPr>
            </w:pPr>
            <w:r>
              <w:rPr>
                <w:rFonts w:eastAsia="方正仿宋_GBK" w:cs="宋体" w:hint="eastAsia"/>
                <w:sz w:val="24"/>
                <w:szCs w:val="24"/>
              </w:rPr>
              <w:t>1363.26</w:t>
            </w:r>
          </w:p>
        </w:tc>
      </w:tr>
    </w:tbl>
    <w:p>
      <w:pPr>
        <w:pStyle w:val="24"/>
        <w:widowControl/>
        <w:shd w:val="clear" w:color="auto" w:fill="FFFFFF"/>
        <w:autoSpaceDN w:val="0"/>
        <w:adjustRightInd w:val="0"/>
        <w:snapToGrid w:val="0"/>
        <w:spacing w:afterLines="50" w:after="156" w:line="560" w:lineRule="exact"/>
        <w:ind w:firstLineChars="200" w:firstLine="640"/>
        <w:rPr>
          <w:rFonts w:eastAsia="方正黑体_GBK" w:cs="楷体_GB2312"/>
          <w:bCs/>
          <w:sz w:val="32"/>
          <w:szCs w:val="32"/>
          <w:shd w:val="clear" w:color="auto" w:fill="FFFFFF"/>
        </w:rPr>
      </w:pPr>
      <w:r>
        <w:rPr>
          <w:rFonts w:eastAsia="方正黑体_GBK" w:cs="楷体_GB2312" w:hint="eastAsia"/>
          <w:bCs/>
          <w:sz w:val="32"/>
          <w:szCs w:val="32"/>
          <w:shd w:val="clear" w:color="auto" w:fill="FFFFFF"/>
        </w:rPr>
        <w:t>三、收到和处理政府信息公开申请情况</w:t>
      </w:r>
    </w:p>
    <w:tbl>
      <w:tblPr>
        <w:jc w:val="center"/>
        <w:tblW w:w="9071"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696"/>
        <w:gridCol w:w="936"/>
        <w:gridCol w:w="2670"/>
        <w:gridCol w:w="635"/>
        <w:gridCol w:w="675"/>
        <w:gridCol w:w="750"/>
        <w:gridCol w:w="765"/>
        <w:gridCol w:w="769"/>
        <w:gridCol w:w="493"/>
        <w:gridCol w:w="682"/>
      </w:tblGrid>
      <w:tr>
        <w:trPr>
          <w:tblHeader/>
        </w:trPr>
        <w:tc>
          <w:tcPr>
            <w:tcW w:w="4302" w:type="dxa"/>
            <w:gridSpan w:val="3"/>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after="180" w:line="560" w:lineRule="exact"/>
              <w:jc w:val="center"/>
            </w:pPr>
            <w:r>
              <w:rPr>
                <w:rFonts w:cs="宋体" w:hint="eastAsia"/>
                <w:kern w:val="0"/>
                <w:sz w:val="20"/>
                <w:szCs w:val="20"/>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after="180" w:line="560" w:lineRule="exact"/>
              <w:jc w:val="center"/>
            </w:pPr>
            <w:r>
              <w:rPr>
                <w:rFonts w:cs="宋体" w:hint="eastAsia"/>
                <w:kern w:val="0"/>
                <w:sz w:val="20"/>
                <w:szCs w:val="20"/>
              </w:rPr>
              <w:t>申请人情况</w:t>
            </w:r>
          </w:p>
        </w:tc>
      </w:tr>
      <w:tr>
        <w:trPr>
          <w:tblHeader/>
        </w:trPr>
        <w:tc>
          <w:tcPr>
            <w:tcW w:w="4302" w:type="dxa"/>
            <w:gridSpan w:val="3"/>
            <w:vMerge/>
            <w:tcBorders>
              <w:top w:val="single" w:sz="8" w:space="0" w:color="auto"/>
              <w:left w:val="single" w:sz="8" w:space="0" w:color="auto"/>
              <w:bottom w:val="single" w:sz="8" w:space="0" w:color="auto"/>
              <w:right w:val="single" w:sz="8" w:space="0" w:color="auto"/>
            </w:tcBorders>
            <w:vAlign w:val="center"/>
          </w:tcPr>
          <w:p/>
        </w:tc>
        <w:tc>
          <w:tcPr>
            <w:tcW w:w="635"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after="180" w:line="560" w:lineRule="exact"/>
              <w:jc w:val="center"/>
            </w:pPr>
            <w:r>
              <w:rPr>
                <w:rFonts w:cs="宋体" w:hint="eastAsia"/>
                <w:kern w:val="0"/>
                <w:sz w:val="20"/>
                <w:szCs w:val="20"/>
              </w:rPr>
              <w:t>自然人</w:t>
            </w:r>
          </w:p>
        </w:tc>
        <w:tc>
          <w:tcPr>
            <w:tcW w:w="3452"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after="180" w:line="560" w:lineRule="exact"/>
              <w:jc w:val="center"/>
            </w:pPr>
            <w:r>
              <w:rPr>
                <w:rFonts w:cs="宋体" w:hint="eastAsia"/>
                <w:kern w:val="0"/>
                <w:sz w:val="20"/>
                <w:szCs w:val="20"/>
              </w:rPr>
              <w:t>法人或其他组织</w:t>
            </w:r>
          </w:p>
        </w:tc>
        <w:tc>
          <w:tcPr>
            <w:tcW w:w="682"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after="180" w:line="560" w:lineRule="exact"/>
              <w:jc w:val="center"/>
            </w:pPr>
            <w:r>
              <w:rPr>
                <w:rFonts w:cs="宋体" w:hint="eastAsia"/>
                <w:kern w:val="0"/>
                <w:sz w:val="20"/>
                <w:szCs w:val="20"/>
              </w:rPr>
              <w:t>总计</w:t>
            </w:r>
          </w:p>
        </w:tc>
      </w:tr>
      <w:tr>
        <w:trPr>
          <w:trHeight w:val="649"/>
          <w:tblHeader/>
        </w:trPr>
        <w:tc>
          <w:tcPr>
            <w:tcW w:w="4302" w:type="dxa"/>
            <w:gridSpan w:val="3"/>
            <w:vMerge/>
            <w:tcBorders>
              <w:top w:val="single" w:sz="8" w:space="0" w:color="auto"/>
              <w:left w:val="single" w:sz="8" w:space="0" w:color="auto"/>
              <w:bottom w:val="single" w:sz="8" w:space="0" w:color="auto"/>
              <w:right w:val="single" w:sz="8" w:space="0" w:color="auto"/>
            </w:tcBorders>
            <w:vAlign w:val="center"/>
          </w:tcPr>
          <w:p/>
        </w:tc>
        <w:tc>
          <w:tcPr>
            <w:tcW w:w="635" w:type="dxa"/>
            <w:vMerge/>
            <w:tcBorders>
              <w:top w:val="nil"/>
              <w:left w:val="nil"/>
              <w:bottom w:val="single" w:sz="8" w:space="0" w:color="auto"/>
              <w:right w:val="single" w:sz="8" w:space="0" w:color="auto"/>
            </w:tcBorders>
            <w:vAlign w:val="center"/>
          </w:tcP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after="180" w:line="560" w:lineRule="exact"/>
              <w:jc w:val="center"/>
            </w:pPr>
            <w:r>
              <w:rPr>
                <w:rFonts w:cs="宋体" w:hint="eastAsia"/>
                <w:kern w:val="0"/>
                <w:sz w:val="20"/>
                <w:szCs w:val="20"/>
              </w:rPr>
              <w:t>商业企业</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after="180" w:line="560" w:lineRule="exact"/>
              <w:jc w:val="center"/>
            </w:pPr>
            <w:r>
              <w:rPr>
                <w:rFonts w:cs="宋体" w:hint="eastAsia"/>
                <w:kern w:val="0"/>
                <w:sz w:val="20"/>
                <w:szCs w:val="20"/>
              </w:rPr>
              <w:t>科研机构</w:t>
            </w:r>
          </w:p>
        </w:tc>
        <w:tc>
          <w:tcPr>
            <w:tcW w:w="76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after="180" w:line="560" w:lineRule="exact"/>
              <w:jc w:val="center"/>
            </w:pPr>
            <w:r>
              <w:rPr>
                <w:rFonts w:cs="宋体" w:hint="eastAsia"/>
                <w:kern w:val="0"/>
                <w:sz w:val="20"/>
                <w:szCs w:val="20"/>
              </w:rPr>
              <w:t>社会公益组织</w:t>
            </w:r>
          </w:p>
        </w:tc>
        <w:tc>
          <w:tcPr>
            <w:tcW w:w="769"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after="180" w:line="560" w:lineRule="exact"/>
              <w:jc w:val="center"/>
            </w:pPr>
            <w:r>
              <w:rPr>
                <w:rFonts w:cs="宋体" w:hint="eastAsia"/>
                <w:kern w:val="0"/>
                <w:sz w:val="20"/>
                <w:szCs w:val="20"/>
              </w:rPr>
              <w:t>法律服务机构</w:t>
            </w:r>
          </w:p>
        </w:tc>
        <w:tc>
          <w:tcPr>
            <w:tcW w:w="49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after="180" w:line="560" w:lineRule="exact"/>
              <w:jc w:val="center"/>
            </w:pPr>
            <w:r>
              <w:rPr>
                <w:rFonts w:cs="宋体" w:hint="eastAsia"/>
                <w:kern w:val="0"/>
                <w:sz w:val="20"/>
                <w:szCs w:val="20"/>
              </w:rPr>
              <w:t>其他</w:t>
            </w:r>
          </w:p>
        </w:tc>
        <w:tc>
          <w:tcPr>
            <w:tcW w:w="682" w:type="dxa"/>
            <w:vMerge/>
            <w:tcBorders>
              <w:top w:val="single" w:sz="8" w:space="0" w:color="auto"/>
              <w:left w:val="nil"/>
              <w:bottom w:val="single" w:sz="8" w:space="0" w:color="auto"/>
              <w:right w:val="single" w:sz="8" w:space="0" w:color="auto"/>
            </w:tcBorders>
            <w:vAlign w:val="center"/>
          </w:tcPr>
          <w:p/>
        </w:tc>
      </w:tr>
      <w:t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pPr>
              <w:pStyle w:val="25"/>
              <w:widowControl/>
              <w:autoSpaceDN w:val="0"/>
              <w:spacing w:after="180" w:line="560" w:lineRule="exact"/>
              <w:jc w:val="left"/>
              <w:rPr>
                <w:sz w:val="24"/>
                <w:szCs w:val="24"/>
              </w:rPr>
            </w:pPr>
            <w:r>
              <w:rPr>
                <w:rFonts w:cs="宋体" w:hint="eastAsia"/>
                <w:kern w:val="0"/>
                <w:sz w:val="24"/>
                <w:szCs w:val="24"/>
              </w:rPr>
              <w:t>一、本年新收政府信息公开申请数量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4</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1</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69"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49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5</w:t>
            </w:r>
          </w:p>
        </w:tc>
      </w:tr>
      <w:t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pPr>
              <w:pStyle w:val="25"/>
              <w:widowControl/>
              <w:autoSpaceDN w:val="0"/>
              <w:spacing w:after="180" w:line="560" w:lineRule="exact"/>
              <w:jc w:val="left"/>
              <w:rPr>
                <w:sz w:val="24"/>
                <w:szCs w:val="24"/>
              </w:rPr>
            </w:pPr>
            <w:r>
              <w:rPr>
                <w:rFonts w:cs="宋体" w:hint="eastAsia"/>
                <w:kern w:val="0"/>
                <w:sz w:val="24"/>
                <w:szCs w:val="24"/>
              </w:rPr>
              <w:t>二、上年结转政府信息公开申请数量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1</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69"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49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1</w:t>
            </w:r>
          </w:p>
        </w:tc>
      </w:tr>
      <w:tr>
        <w:tc>
          <w:tcPr>
            <w:tcW w:w="696"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after="180" w:line="560" w:lineRule="exact"/>
              <w:jc w:val="center"/>
              <w:rPr>
                <w:sz w:val="24"/>
                <w:szCs w:val="24"/>
              </w:rPr>
            </w:pPr>
            <w:r>
              <w:rPr>
                <w:rFonts w:cs="宋体" w:hint="eastAsia"/>
                <w:kern w:val="0"/>
                <w:sz w:val="24"/>
                <w:szCs w:val="24"/>
              </w:rPr>
              <w:t>三、本年度办理结果</w:t>
            </w: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after="180" w:line="560" w:lineRule="exact"/>
              <w:jc w:val="left"/>
              <w:rPr>
                <w:sz w:val="24"/>
                <w:szCs w:val="24"/>
              </w:rPr>
            </w:pPr>
            <w:r>
              <w:rPr>
                <w:rFonts w:eastAsia="楷体" w:cs="楷体" w:hint="eastAsia"/>
                <w:kern w:val="0"/>
                <w:sz w:val="24"/>
                <w:szCs w:val="24"/>
              </w:rPr>
              <w:t>（一）予以公开</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2</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69"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49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2</w:t>
            </w:r>
          </w:p>
        </w:tc>
      </w:tr>
      <w:tr>
        <w:tc>
          <w:tcPr>
            <w:tcW w:w="696" w:type="dxa"/>
            <w:vMerge/>
            <w:tcBorders>
              <w:top w:val="nil"/>
              <w:left w:val="single" w:sz="8" w:space="0" w:color="auto"/>
              <w:bottom w:val="single" w:sz="8" w:space="0" w:color="auto"/>
              <w:right w:val="single" w:sz="8" w:space="0" w:color="auto"/>
            </w:tcBorders>
            <w:vAlign w:val="center"/>
          </w:tcP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after="180" w:line="560" w:lineRule="exact"/>
              <w:jc w:val="left"/>
              <w:rPr>
                <w:sz w:val="24"/>
                <w:szCs w:val="24"/>
              </w:rPr>
            </w:pPr>
            <w:r>
              <w:rPr>
                <w:rFonts w:eastAsia="楷体" w:cs="楷体" w:hint="eastAsia"/>
                <w:kern w:val="0"/>
                <w:sz w:val="24"/>
                <w:szCs w:val="24"/>
              </w:rPr>
              <w:t>（二）部分公开（区分处理的，只计这一情形，不计其他情形）</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sz w:val="24"/>
                <w:szCs w:val="24"/>
              </w:rPr>
              <w:t>1</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69"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49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sz w:val="24"/>
                <w:szCs w:val="24"/>
              </w:rPr>
              <w:t>1</w:t>
            </w:r>
          </w:p>
        </w:tc>
      </w:tr>
      <w:tr>
        <w:tc>
          <w:tcPr>
            <w:tcW w:w="696" w:type="dxa"/>
            <w:vMerge/>
            <w:tcBorders>
              <w:top w:val="nil"/>
              <w:left w:val="single" w:sz="8" w:space="0" w:color="auto"/>
              <w:bottom w:val="single" w:sz="8" w:space="0" w:color="auto"/>
              <w:right w:val="single" w:sz="8" w:space="0" w:color="auto"/>
            </w:tcBorders>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after="180" w:line="560" w:lineRule="exact"/>
              <w:rPr>
                <w:sz w:val="24"/>
                <w:szCs w:val="24"/>
              </w:rPr>
            </w:pPr>
            <w:r>
              <w:rPr>
                <w:rFonts w:eastAsia="楷体" w:cs="楷体" w:hint="eastAsia"/>
                <w:kern w:val="0"/>
                <w:sz w:val="24"/>
                <w:szCs w:val="24"/>
              </w:rPr>
              <w:t>（三）不予公开</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after="180" w:line="560" w:lineRule="exact"/>
              <w:rPr>
                <w:sz w:val="24"/>
                <w:szCs w:val="24"/>
              </w:rPr>
            </w:pPr>
            <w:r>
              <w:rPr>
                <w:rFonts w:eastAsia="楷体" w:cs="楷体" w:hint="eastAsia"/>
                <w:kern w:val="0"/>
                <w:sz w:val="24"/>
                <w:szCs w:val="24"/>
              </w:rPr>
              <w:t>1.属于国家秘密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69"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49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vAlign w:val="center"/>
          </w:tcPr>
          <w:p/>
        </w:tc>
        <w:tc>
          <w:tcPr>
            <w:tcW w:w="936" w:type="dxa"/>
            <w:vMerge/>
            <w:tcBorders>
              <w:top w:val="nil"/>
              <w:left w:val="nil"/>
              <w:bottom w:val="single" w:sz="8" w:space="0" w:color="auto"/>
              <w:right w:val="single" w:sz="8" w:space="0" w:color="auto"/>
            </w:tcBorders>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after="180" w:line="560" w:lineRule="exact"/>
              <w:rPr>
                <w:sz w:val="24"/>
                <w:szCs w:val="24"/>
              </w:rPr>
            </w:pPr>
            <w:r>
              <w:rPr>
                <w:rFonts w:eastAsia="楷体" w:cs="楷体" w:hint="eastAsia"/>
                <w:kern w:val="0"/>
                <w:sz w:val="24"/>
                <w:szCs w:val="24"/>
              </w:rPr>
              <w:t>2.其他法律行政法规禁止公开</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69"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49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vAlign w:val="center"/>
          </w:tcPr>
          <w:p/>
        </w:tc>
        <w:tc>
          <w:tcPr>
            <w:tcW w:w="936" w:type="dxa"/>
            <w:vMerge/>
            <w:tcBorders>
              <w:top w:val="nil"/>
              <w:left w:val="nil"/>
              <w:bottom w:val="single" w:sz="8" w:space="0" w:color="auto"/>
              <w:right w:val="single" w:sz="8" w:space="0" w:color="auto"/>
            </w:tcBorders>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after="180" w:line="560" w:lineRule="exact"/>
              <w:rPr>
                <w:sz w:val="24"/>
                <w:szCs w:val="24"/>
              </w:rPr>
            </w:pPr>
            <w:r>
              <w:rPr>
                <w:rFonts w:eastAsia="楷体" w:cs="楷体" w:hint="eastAsia"/>
                <w:kern w:val="0"/>
                <w:sz w:val="24"/>
                <w:szCs w:val="24"/>
              </w:rPr>
              <w:t>3.危及“三安全一稳定”</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69"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49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vAlign w:val="center"/>
          </w:tcPr>
          <w:p/>
        </w:tc>
        <w:tc>
          <w:tcPr>
            <w:tcW w:w="936" w:type="dxa"/>
            <w:vMerge/>
            <w:tcBorders>
              <w:top w:val="nil"/>
              <w:left w:val="nil"/>
              <w:bottom w:val="single" w:sz="8" w:space="0" w:color="auto"/>
              <w:right w:val="single" w:sz="8" w:space="0" w:color="auto"/>
            </w:tcBorders>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after="180" w:line="560" w:lineRule="exact"/>
              <w:rPr>
                <w:sz w:val="24"/>
                <w:szCs w:val="24"/>
              </w:rPr>
            </w:pPr>
            <w:r>
              <w:rPr>
                <w:rFonts w:eastAsia="楷体" w:cs="楷体" w:hint="eastAsia"/>
                <w:kern w:val="0"/>
                <w:sz w:val="24"/>
                <w:szCs w:val="24"/>
              </w:rPr>
              <w:t>4.保护第三方合法权益</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69"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49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vAlign w:val="center"/>
          </w:tcPr>
          <w:p/>
        </w:tc>
        <w:tc>
          <w:tcPr>
            <w:tcW w:w="936" w:type="dxa"/>
            <w:vMerge/>
            <w:tcBorders>
              <w:top w:val="nil"/>
              <w:left w:val="nil"/>
              <w:bottom w:val="single" w:sz="8" w:space="0" w:color="auto"/>
              <w:right w:val="single" w:sz="8" w:space="0" w:color="auto"/>
            </w:tcBorders>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line="560" w:lineRule="exact"/>
              <w:rPr>
                <w:sz w:val="24"/>
                <w:szCs w:val="24"/>
              </w:rPr>
            </w:pPr>
            <w:r>
              <w:rPr>
                <w:rFonts w:eastAsia="楷体" w:cs="楷体" w:hint="eastAsia"/>
                <w:kern w:val="0"/>
                <w:sz w:val="24"/>
                <w:szCs w:val="24"/>
              </w:rPr>
              <w:t>5.属于三类内部事务信息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69"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49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vAlign w:val="center"/>
          </w:tcPr>
          <w:p/>
        </w:tc>
        <w:tc>
          <w:tcPr>
            <w:tcW w:w="936" w:type="dxa"/>
            <w:vMerge/>
            <w:tcBorders>
              <w:top w:val="nil"/>
              <w:left w:val="nil"/>
              <w:bottom w:val="single" w:sz="8" w:space="0" w:color="auto"/>
              <w:right w:val="single" w:sz="8" w:space="0" w:color="auto"/>
            </w:tcBorders>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line="560" w:lineRule="exact"/>
              <w:rPr>
                <w:sz w:val="24"/>
                <w:szCs w:val="24"/>
              </w:rPr>
            </w:pPr>
            <w:r>
              <w:rPr>
                <w:rFonts w:eastAsia="楷体" w:cs="楷体" w:hint="eastAsia"/>
                <w:kern w:val="0"/>
                <w:sz w:val="24"/>
                <w:szCs w:val="24"/>
              </w:rPr>
              <w:t>6.属于四类过程性信息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69"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49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vAlign w:val="center"/>
          </w:tcPr>
          <w:p/>
        </w:tc>
        <w:tc>
          <w:tcPr>
            <w:tcW w:w="936" w:type="dxa"/>
            <w:vMerge/>
            <w:tcBorders>
              <w:top w:val="nil"/>
              <w:left w:val="nil"/>
              <w:bottom w:val="single" w:sz="8" w:space="0" w:color="auto"/>
              <w:right w:val="single" w:sz="8" w:space="0" w:color="auto"/>
            </w:tcBorders>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line="560" w:lineRule="exact"/>
              <w:rPr>
                <w:sz w:val="24"/>
                <w:szCs w:val="24"/>
              </w:rPr>
            </w:pPr>
            <w:r>
              <w:rPr>
                <w:rFonts w:eastAsia="楷体" w:cs="楷体" w:hint="eastAsia"/>
                <w:kern w:val="0"/>
                <w:sz w:val="24"/>
                <w:szCs w:val="24"/>
              </w:rPr>
              <w:t>7.属于行政执法案卷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69"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49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vAlign w:val="center"/>
          </w:tcPr>
          <w:p/>
        </w:tc>
        <w:tc>
          <w:tcPr>
            <w:tcW w:w="936" w:type="dxa"/>
            <w:vMerge/>
            <w:tcBorders>
              <w:top w:val="nil"/>
              <w:left w:val="nil"/>
              <w:bottom w:val="single" w:sz="8" w:space="0" w:color="auto"/>
              <w:right w:val="single" w:sz="8" w:space="0" w:color="auto"/>
            </w:tcBorders>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line="560" w:lineRule="exact"/>
              <w:rPr>
                <w:sz w:val="24"/>
                <w:szCs w:val="24"/>
              </w:rPr>
            </w:pPr>
            <w:r>
              <w:rPr>
                <w:rFonts w:eastAsia="楷体" w:cs="楷体" w:hint="eastAsia"/>
                <w:kern w:val="0"/>
                <w:sz w:val="24"/>
                <w:szCs w:val="24"/>
              </w:rPr>
              <w:t>8.属于行政查询事项</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69"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49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line="560" w:lineRule="exact"/>
              <w:rPr>
                <w:sz w:val="24"/>
                <w:szCs w:val="24"/>
              </w:rPr>
            </w:pPr>
            <w:r>
              <w:rPr>
                <w:rFonts w:eastAsia="楷体" w:cs="楷体" w:hint="eastAsia"/>
                <w:kern w:val="0"/>
                <w:sz w:val="24"/>
                <w:szCs w:val="24"/>
              </w:rPr>
              <w:t>（四）无法提供</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line="560" w:lineRule="exact"/>
              <w:rPr>
                <w:sz w:val="24"/>
                <w:szCs w:val="24"/>
              </w:rPr>
            </w:pPr>
            <w:r>
              <w:rPr>
                <w:rFonts w:eastAsia="楷体" w:cs="楷体" w:hint="eastAsia"/>
                <w:kern w:val="0"/>
                <w:sz w:val="24"/>
                <w:szCs w:val="24"/>
              </w:rPr>
              <w:t>1.本机关不掌握相关政府信息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69"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49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vAlign w:val="center"/>
          </w:tcPr>
          <w:p/>
        </w:tc>
        <w:tc>
          <w:tcPr>
            <w:tcW w:w="936" w:type="dxa"/>
            <w:vMerge/>
            <w:tcBorders>
              <w:top w:val="nil"/>
              <w:left w:val="nil"/>
              <w:bottom w:val="single" w:sz="8" w:space="0" w:color="auto"/>
              <w:right w:val="single" w:sz="8" w:space="0" w:color="auto"/>
            </w:tcBorders>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line="560" w:lineRule="exact"/>
              <w:rPr>
                <w:sz w:val="24"/>
                <w:szCs w:val="24"/>
              </w:rPr>
            </w:pPr>
            <w:r>
              <w:rPr>
                <w:rFonts w:eastAsia="楷体" w:cs="楷体" w:hint="eastAsia"/>
                <w:kern w:val="0"/>
                <w:sz w:val="24"/>
                <w:szCs w:val="24"/>
              </w:rPr>
              <w:t>2.没有现成信息需要另行制作</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69"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49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vAlign w:val="center"/>
          </w:tcPr>
          <w:p/>
        </w:tc>
        <w:tc>
          <w:tcPr>
            <w:tcW w:w="936" w:type="dxa"/>
            <w:vMerge/>
            <w:tcBorders>
              <w:top w:val="nil"/>
              <w:left w:val="nil"/>
              <w:bottom w:val="single" w:sz="8" w:space="0" w:color="auto"/>
              <w:right w:val="single" w:sz="8" w:space="0" w:color="auto"/>
            </w:tcBorders>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line="560" w:lineRule="exact"/>
              <w:rPr>
                <w:sz w:val="24"/>
                <w:szCs w:val="24"/>
              </w:rPr>
            </w:pPr>
            <w:r>
              <w:rPr>
                <w:rFonts w:eastAsia="楷体" w:cs="楷体" w:hint="eastAsia"/>
                <w:kern w:val="0"/>
                <w:sz w:val="24"/>
                <w:szCs w:val="24"/>
              </w:rPr>
              <w:t>3.补正后申请内容仍不明确</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69"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49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line="560" w:lineRule="exact"/>
              <w:rPr>
                <w:sz w:val="24"/>
                <w:szCs w:val="24"/>
              </w:rPr>
            </w:pPr>
            <w:r>
              <w:rPr>
                <w:rFonts w:eastAsia="楷体" w:cs="楷体" w:hint="eastAsia"/>
                <w:kern w:val="0"/>
                <w:sz w:val="24"/>
                <w:szCs w:val="24"/>
              </w:rPr>
              <w:t>（五）不予处理</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line="560" w:lineRule="exact"/>
              <w:rPr>
                <w:sz w:val="24"/>
                <w:szCs w:val="24"/>
              </w:rPr>
            </w:pPr>
            <w:r>
              <w:rPr>
                <w:rFonts w:eastAsia="楷体" w:cs="楷体" w:hint="eastAsia"/>
                <w:kern w:val="0"/>
                <w:sz w:val="24"/>
                <w:szCs w:val="24"/>
              </w:rPr>
              <w:t>1.信访举报投诉类申请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69"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49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vAlign w:val="center"/>
          </w:tcPr>
          <w:p/>
        </w:tc>
        <w:tc>
          <w:tcPr>
            <w:tcW w:w="936" w:type="dxa"/>
            <w:vMerge/>
            <w:tcBorders>
              <w:top w:val="nil"/>
              <w:left w:val="nil"/>
              <w:bottom w:val="single" w:sz="8" w:space="0" w:color="auto"/>
              <w:right w:val="single" w:sz="8" w:space="0" w:color="auto"/>
            </w:tcBorders>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line="560" w:lineRule="exact"/>
              <w:rPr>
                <w:sz w:val="24"/>
                <w:szCs w:val="24"/>
              </w:rPr>
            </w:pPr>
            <w:r>
              <w:rPr>
                <w:rFonts w:eastAsia="楷体" w:cs="楷体" w:hint="eastAsia"/>
                <w:kern w:val="0"/>
                <w:sz w:val="24"/>
                <w:szCs w:val="24"/>
              </w:rPr>
              <w:t>2.重复申请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69"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49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vAlign w:val="center"/>
          </w:tcPr>
          <w:p/>
        </w:tc>
        <w:tc>
          <w:tcPr>
            <w:tcW w:w="936" w:type="dxa"/>
            <w:vMerge/>
            <w:tcBorders>
              <w:top w:val="nil"/>
              <w:left w:val="nil"/>
              <w:bottom w:val="single" w:sz="8" w:space="0" w:color="auto"/>
              <w:right w:val="single" w:sz="8" w:space="0" w:color="auto"/>
            </w:tcBorders>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line="560" w:lineRule="exact"/>
              <w:rPr>
                <w:sz w:val="24"/>
                <w:szCs w:val="24"/>
              </w:rPr>
            </w:pPr>
            <w:r>
              <w:rPr>
                <w:rFonts w:eastAsia="楷体" w:cs="楷体" w:hint="eastAsia"/>
                <w:kern w:val="0"/>
                <w:sz w:val="24"/>
                <w:szCs w:val="24"/>
              </w:rPr>
              <w:t>3.要求提供公开出版物</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69"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49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r>
      <w:tr>
        <w:trPr>
          <w:trHeight w:val="810"/>
        </w:trPr>
        <w:tc>
          <w:tcPr>
            <w:tcW w:w="696" w:type="dxa"/>
            <w:vMerge/>
            <w:tcBorders>
              <w:top w:val="nil"/>
              <w:left w:val="single" w:sz="8" w:space="0" w:color="auto"/>
              <w:bottom w:val="single" w:sz="8" w:space="0" w:color="auto"/>
              <w:right w:val="single" w:sz="8" w:space="0" w:color="auto"/>
            </w:tcBorders>
            <w:vAlign w:val="center"/>
          </w:tcPr>
          <w:p/>
        </w:tc>
        <w:tc>
          <w:tcPr>
            <w:tcW w:w="936" w:type="dxa"/>
            <w:vMerge/>
            <w:tcBorders>
              <w:top w:val="nil"/>
              <w:left w:val="nil"/>
              <w:bottom w:val="single" w:sz="8" w:space="0" w:color="auto"/>
              <w:right w:val="single" w:sz="8" w:space="0" w:color="auto"/>
            </w:tcBorders>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line="560" w:lineRule="exact"/>
              <w:rPr>
                <w:sz w:val="24"/>
                <w:szCs w:val="24"/>
              </w:rPr>
            </w:pPr>
            <w:r>
              <w:rPr>
                <w:rFonts w:eastAsia="楷体" w:cs="楷体" w:hint="eastAsia"/>
                <w:kern w:val="0"/>
                <w:sz w:val="24"/>
                <w:szCs w:val="24"/>
              </w:rPr>
              <w:t>4.无正当理由大量反复申请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69"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49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vAlign w:val="center"/>
          </w:tcPr>
          <w:p/>
        </w:tc>
        <w:tc>
          <w:tcPr>
            <w:tcW w:w="936" w:type="dxa"/>
            <w:vMerge/>
            <w:tcBorders>
              <w:top w:val="nil"/>
              <w:left w:val="nil"/>
              <w:bottom w:val="single" w:sz="8" w:space="0" w:color="auto"/>
              <w:right w:val="single" w:sz="8" w:space="0" w:color="auto"/>
            </w:tcBorders>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line="560" w:lineRule="exact"/>
              <w:rPr>
                <w:sz w:val="24"/>
                <w:szCs w:val="24"/>
              </w:rPr>
            </w:pPr>
            <w:r>
              <w:rPr>
                <w:rFonts w:eastAsia="楷体" w:cs="楷体" w:hint="eastAsia"/>
                <w:kern w:val="0"/>
                <w:sz w:val="24"/>
                <w:szCs w:val="24"/>
              </w:rPr>
              <w:t>5.要求行政机关确认或重新出具已获取信息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69"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49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r>
      <w:tr>
        <w:trPr>
          <w:trHeight w:val="567"/>
        </w:trPr>
        <w:tc>
          <w:tcPr>
            <w:tcW w:w="696" w:type="dxa"/>
            <w:vMerge/>
            <w:tcBorders>
              <w:top w:val="nil"/>
              <w:left w:val="single" w:sz="8" w:space="0" w:color="auto"/>
              <w:bottom w:val="single" w:sz="8" w:space="0" w:color="auto"/>
              <w:right w:val="single" w:sz="8" w:space="0" w:color="auto"/>
            </w:tcBorders>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line="560" w:lineRule="exact"/>
              <w:rPr>
                <w:sz w:val="24"/>
                <w:szCs w:val="24"/>
              </w:rPr>
            </w:pPr>
            <w:r>
              <w:rPr>
                <w:rFonts w:eastAsia="楷体" w:cs="楷体" w:hint="eastAsia"/>
                <w:kern w:val="0"/>
                <w:sz w:val="24"/>
                <w:szCs w:val="24"/>
              </w:rPr>
              <w:t>（六）其他处理</w:t>
            </w:r>
          </w:p>
        </w:tc>
        <w:tc>
          <w:tcPr>
            <w:tcW w:w="2670" w:type="dxa"/>
            <w:tcBorders>
              <w:top w:val="nil"/>
              <w:left w:val="single" w:sz="8" w:space="0" w:color="auto"/>
              <w:bottom w:val="single" w:sz="8" w:space="0" w:color="auto"/>
              <w:right w:val="single" w:sz="8" w:space="0" w:color="auto"/>
            </w:tcBorders>
            <w:shd w:val="clear" w:color="auto" w:fill="auto"/>
            <w:tcMar>
              <w:left w:w="108" w:type="dxa"/>
              <w:right w:w="108" w:type="dxa"/>
            </w:tcMar>
          </w:tcPr>
          <w:p>
            <w:pPr>
              <w:pStyle w:val="25"/>
              <w:widowControl/>
              <w:autoSpaceDN w:val="0"/>
              <w:spacing w:line="560" w:lineRule="exact"/>
              <w:rPr>
                <w:rFonts w:eastAsia="楷体" w:cs="楷体"/>
                <w:kern w:val="0"/>
                <w:sz w:val="24"/>
                <w:szCs w:val="24"/>
              </w:rPr>
            </w:pPr>
            <w:r>
              <w:rPr>
                <w:rFonts w:eastAsia="楷体" w:cs="楷体" w:hint="eastAsia"/>
                <w:kern w:val="0"/>
                <w:sz w:val="24"/>
                <w:szCs w:val="24"/>
              </w:rPr>
              <w:t>1.申请人撤销申请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sz w:val="24"/>
                <w:szCs w:val="24"/>
              </w:rPr>
              <w:t>2</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sz w:val="24"/>
                <w:szCs w:val="24"/>
              </w:rPr>
              <w:t>1</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69"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49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3</w:t>
            </w:r>
          </w:p>
        </w:tc>
      </w:tr>
      <w:tr>
        <w:trPr>
          <w:trHeight w:val="567"/>
        </w:trPr>
        <w:tc>
          <w:tcPr>
            <w:tcW w:w="696" w:type="dxa"/>
            <w:vMerge/>
            <w:tcBorders>
              <w:top w:val="nil"/>
              <w:left w:val="single" w:sz="8" w:space="0" w:color="auto"/>
              <w:bottom w:val="single" w:sz="8" w:space="0" w:color="auto"/>
              <w:right w:val="single" w:sz="8" w:space="0" w:color="auto"/>
            </w:tcBorders>
            <w:vAlign w:val="center"/>
          </w:tcPr>
          <w:p/>
        </w:tc>
        <w:tc>
          <w:tcPr>
            <w:tcW w:w="936" w:type="dxa"/>
            <w:vMerge/>
            <w:tcBorders>
              <w:top w:val="nil"/>
              <w:left w:val="nil"/>
              <w:bottom w:val="single" w:sz="8" w:space="0" w:color="auto"/>
              <w:right w:val="single" w:sz="8" w:space="0" w:color="auto"/>
            </w:tcBorders>
            <w:vAlign w:val="center"/>
          </w:tcPr>
          <w:p/>
        </w:tc>
        <w:tc>
          <w:tcPr>
            <w:tcW w:w="2670" w:type="dxa"/>
            <w:tcBorders>
              <w:top w:val="nil"/>
              <w:left w:val="single" w:sz="8" w:space="0" w:color="auto"/>
              <w:bottom w:val="single" w:sz="8" w:space="0" w:color="auto"/>
              <w:right w:val="single" w:sz="8" w:space="0" w:color="auto"/>
            </w:tcBorders>
            <w:shd w:val="clear" w:color="auto" w:fill="auto"/>
          </w:tcPr>
          <w:p>
            <w:pPr>
              <w:pStyle w:val="25"/>
              <w:widowControl/>
              <w:autoSpaceDN w:val="0"/>
              <w:spacing w:line="560" w:lineRule="exact"/>
              <w:rPr>
                <w:rFonts w:eastAsia="楷体" w:cs="楷体"/>
                <w:kern w:val="0"/>
                <w:sz w:val="24"/>
                <w:szCs w:val="24"/>
              </w:rPr>
            </w:pPr>
            <w:r>
              <w:rPr>
                <w:rFonts w:eastAsia="楷体" w:cs="楷体" w:hint="eastAsia"/>
                <w:kern w:val="0"/>
                <w:sz w:val="24"/>
                <w:szCs w:val="24"/>
              </w:rPr>
              <w:t>2.咨询事项，指引咨询渠道</w:t>
            </w:r>
          </w:p>
        </w:tc>
        <w:tc>
          <w:tcPr>
            <w:tcW w:w="635" w:type="dxa"/>
            <w:tcBorders>
              <w:top w:val="nil"/>
              <w:left w:val="nil"/>
              <w:bottom w:val="single" w:sz="8" w:space="0" w:color="auto"/>
              <w:right w:val="single" w:sz="8" w:space="0" w:color="auto"/>
            </w:tcBorders>
            <w:shd w:val="clear" w:color="auto" w:fill="auto"/>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69" w:type="dxa"/>
            <w:tcBorders>
              <w:top w:val="nil"/>
              <w:left w:val="nil"/>
              <w:bottom w:val="single" w:sz="8" w:space="0" w:color="auto"/>
              <w:right w:val="single" w:sz="8" w:space="0" w:color="auto"/>
            </w:tcBorders>
            <w:shd w:val="clear" w:color="auto" w:fill="auto"/>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493" w:type="dxa"/>
            <w:tcBorders>
              <w:top w:val="nil"/>
              <w:left w:val="nil"/>
              <w:bottom w:val="single" w:sz="8" w:space="0" w:color="auto"/>
              <w:right w:val="single" w:sz="8" w:space="0" w:color="auto"/>
            </w:tcBorders>
            <w:shd w:val="clear" w:color="auto" w:fill="auto"/>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r>
      <w:tr>
        <w:trPr>
          <w:trHeight w:val="567"/>
        </w:trPr>
        <w:tc>
          <w:tcPr>
            <w:tcW w:w="696" w:type="dxa"/>
            <w:vMerge/>
            <w:tcBorders>
              <w:top w:val="nil"/>
              <w:left w:val="single" w:sz="8" w:space="0" w:color="auto"/>
              <w:bottom w:val="single" w:sz="8" w:space="0" w:color="auto"/>
              <w:right w:val="single" w:sz="8" w:space="0" w:color="auto"/>
            </w:tcBorders>
            <w:vAlign w:val="center"/>
          </w:tcPr>
          <w:p/>
        </w:tc>
        <w:tc>
          <w:tcPr>
            <w:tcW w:w="936" w:type="dxa"/>
            <w:vMerge/>
            <w:tcBorders>
              <w:top w:val="nil"/>
              <w:left w:val="nil"/>
              <w:bottom w:val="single" w:sz="8" w:space="0" w:color="auto"/>
              <w:right w:val="single" w:sz="8" w:space="0" w:color="auto"/>
            </w:tcBorders>
            <w:vAlign w:val="center"/>
          </w:tcPr>
          <w:p/>
        </w:tc>
        <w:tc>
          <w:tcPr>
            <w:tcW w:w="2670" w:type="dxa"/>
            <w:tcBorders>
              <w:top w:val="nil"/>
              <w:left w:val="single" w:sz="8" w:space="0" w:color="auto"/>
              <w:bottom w:val="single" w:sz="8" w:space="0" w:color="auto"/>
              <w:right w:val="single" w:sz="8" w:space="0" w:color="auto"/>
            </w:tcBorders>
            <w:shd w:val="clear" w:color="auto" w:fill="auto"/>
          </w:tcPr>
          <w:p>
            <w:pPr>
              <w:pStyle w:val="25"/>
              <w:widowControl/>
              <w:autoSpaceDN w:val="0"/>
              <w:spacing w:line="560" w:lineRule="exact"/>
              <w:rPr>
                <w:rFonts w:eastAsia="楷体" w:cs="楷体"/>
                <w:kern w:val="0"/>
                <w:sz w:val="24"/>
                <w:szCs w:val="24"/>
              </w:rPr>
            </w:pPr>
            <w:r>
              <w:rPr>
                <w:rFonts w:eastAsia="楷体" w:cs="楷体" w:hint="eastAsia"/>
                <w:kern w:val="0"/>
                <w:sz w:val="24"/>
                <w:szCs w:val="24"/>
              </w:rPr>
              <w:t>3.逾期未补正</w:t>
            </w:r>
          </w:p>
        </w:tc>
        <w:tc>
          <w:tcPr>
            <w:tcW w:w="635" w:type="dxa"/>
            <w:tcBorders>
              <w:top w:val="nil"/>
              <w:left w:val="nil"/>
              <w:bottom w:val="single" w:sz="8" w:space="0" w:color="auto"/>
              <w:right w:val="single" w:sz="8" w:space="0" w:color="auto"/>
            </w:tcBorders>
            <w:shd w:val="clear" w:color="auto" w:fill="auto"/>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69" w:type="dxa"/>
            <w:tcBorders>
              <w:top w:val="nil"/>
              <w:left w:val="nil"/>
              <w:bottom w:val="single" w:sz="8" w:space="0" w:color="auto"/>
              <w:right w:val="single" w:sz="8" w:space="0" w:color="auto"/>
            </w:tcBorders>
            <w:shd w:val="clear" w:color="auto" w:fill="auto"/>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493" w:type="dxa"/>
            <w:tcBorders>
              <w:top w:val="nil"/>
              <w:left w:val="nil"/>
              <w:bottom w:val="single" w:sz="8" w:space="0" w:color="auto"/>
              <w:right w:val="single" w:sz="8" w:space="0" w:color="auto"/>
            </w:tcBorders>
            <w:shd w:val="clear" w:color="auto" w:fill="auto"/>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vAlign w:val="center"/>
          </w:tcP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line="560" w:lineRule="exact"/>
              <w:rPr>
                <w:sz w:val="24"/>
                <w:szCs w:val="24"/>
              </w:rPr>
            </w:pPr>
            <w:r>
              <w:rPr>
                <w:rFonts w:eastAsia="楷体" w:cs="楷体" w:hint="eastAsia"/>
                <w:kern w:val="0"/>
                <w:sz w:val="24"/>
                <w:szCs w:val="24"/>
              </w:rPr>
              <w:t>（七）总计</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5</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sz w:val="24"/>
                <w:szCs w:val="24"/>
              </w:rPr>
              <w:t>1</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69"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49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6</w:t>
            </w:r>
          </w:p>
        </w:tc>
      </w:tr>
      <w:t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line="560" w:lineRule="exact"/>
              <w:jc w:val="left"/>
            </w:pPr>
            <w:r>
              <w:rPr>
                <w:rFonts w:cs="宋体" w:hint="eastAsia"/>
                <w:kern w:val="0"/>
                <w:sz w:val="24"/>
                <w:szCs w:val="24"/>
              </w:rPr>
              <w:t>四、结转下年度继续办理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769"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49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spacing w:line="560" w:lineRule="exact"/>
              <w:jc w:val="center"/>
              <w:rPr>
                <w:rFonts w:eastAsia="方正仿宋_GBK"/>
                <w:sz w:val="24"/>
                <w:szCs w:val="24"/>
              </w:rPr>
            </w:pPr>
            <w:r>
              <w:rPr>
                <w:rFonts w:eastAsia="方正仿宋_GBK" w:hint="eastAsia"/>
                <w:sz w:val="24"/>
                <w:szCs w:val="24"/>
              </w:rPr>
              <w:t>0</w:t>
            </w:r>
          </w:p>
        </w:tc>
      </w:tr>
    </w:tbl>
    <w:p>
      <w:pPr>
        <w:pStyle w:val="24"/>
        <w:widowControl/>
        <w:shd w:val="clear" w:color="auto" w:fill="FFFFFF"/>
        <w:autoSpaceDN w:val="0"/>
        <w:spacing w:beforeLines="50" w:before="156" w:after="120" w:line="560" w:lineRule="exact"/>
        <w:ind w:firstLineChars="200" w:firstLine="640"/>
        <w:rPr>
          <w:rFonts w:cs="宋体"/>
          <w:szCs w:val="24"/>
        </w:rPr>
      </w:pPr>
      <w:r>
        <w:rPr>
          <w:rFonts w:eastAsia="方正黑体_GBK" w:cs="楷体_GB2312" w:hint="eastAsia"/>
          <w:bCs/>
          <w:sz w:val="32"/>
          <w:szCs w:val="32"/>
          <w:shd w:val="clear" w:color="auto" w:fill="FFFFFF"/>
        </w:rPr>
        <w:t>四、政府信息公开行政复议、行政诉讼情况</w:t>
      </w:r>
    </w:p>
    <w:tbl>
      <w:tblPr>
        <w:jc w:val="center"/>
        <w:tblW w:w="9071"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c>
          <w:tcPr>
            <w:tcW w:w="3074" w:type="dxa"/>
            <w:gridSpan w:val="5"/>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line="560" w:lineRule="exact"/>
              <w:jc w:val="center"/>
              <w:rPr>
                <w:sz w:val="24"/>
                <w:szCs w:val="24"/>
              </w:rPr>
            </w:pPr>
            <w:r>
              <w:rPr>
                <w:rFonts w:cs="宋体" w:hint="eastAsia"/>
                <w:kern w:val="0"/>
                <w:sz w:val="24"/>
                <w:szCs w:val="24"/>
              </w:rPr>
              <w:t>行政复议</w:t>
            </w:r>
          </w:p>
        </w:tc>
        <w:tc>
          <w:tcPr>
            <w:tcW w:w="5997" w:type="dxa"/>
            <w:gridSpan w:val="10"/>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line="560" w:lineRule="exact"/>
              <w:jc w:val="center"/>
              <w:rPr>
                <w:sz w:val="24"/>
                <w:szCs w:val="24"/>
              </w:rPr>
            </w:pPr>
            <w:r>
              <w:rPr>
                <w:rFonts w:cs="宋体" w:hint="eastAsia"/>
                <w:kern w:val="0"/>
                <w:sz w:val="24"/>
                <w:szCs w:val="24"/>
              </w:rPr>
              <w:t>行政诉讼</w:t>
            </w:r>
          </w:p>
        </w:tc>
      </w:tr>
      <w:tr>
        <w:tc>
          <w:tcPr>
            <w:tcW w:w="604"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line="560" w:lineRule="exact"/>
              <w:jc w:val="center"/>
              <w:rPr>
                <w:sz w:val="24"/>
                <w:szCs w:val="24"/>
              </w:rPr>
            </w:pPr>
            <w:r>
              <w:rPr>
                <w:rFonts w:cs="宋体" w:hint="eastAsia"/>
                <w:kern w:val="0"/>
                <w:sz w:val="24"/>
                <w:szCs w:val="24"/>
              </w:rPr>
              <w:t>结果维持</w:t>
            </w:r>
          </w:p>
        </w:tc>
        <w:tc>
          <w:tcPr>
            <w:tcW w:w="604"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line="560" w:lineRule="exact"/>
              <w:jc w:val="center"/>
              <w:rPr>
                <w:sz w:val="24"/>
                <w:szCs w:val="24"/>
              </w:rPr>
            </w:pPr>
            <w:r>
              <w:rPr>
                <w:rFonts w:cs="宋体" w:hint="eastAsia"/>
                <w:kern w:val="0"/>
                <w:sz w:val="24"/>
                <w:szCs w:val="24"/>
              </w:rPr>
              <w:t>结果纠正</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line="560" w:lineRule="exact"/>
              <w:jc w:val="center"/>
              <w:rPr>
                <w:sz w:val="24"/>
                <w:szCs w:val="24"/>
              </w:rPr>
            </w:pPr>
            <w:r>
              <w:rPr>
                <w:rFonts w:cs="宋体" w:hint="eastAsia"/>
                <w:kern w:val="0"/>
                <w:sz w:val="24"/>
                <w:szCs w:val="24"/>
              </w:rPr>
              <w:t>其他结果</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line="560" w:lineRule="exact"/>
              <w:jc w:val="center"/>
              <w:rPr>
                <w:sz w:val="24"/>
                <w:szCs w:val="24"/>
              </w:rPr>
            </w:pPr>
            <w:r>
              <w:rPr>
                <w:rFonts w:cs="宋体" w:hint="eastAsia"/>
                <w:kern w:val="0"/>
                <w:sz w:val="24"/>
                <w:szCs w:val="24"/>
              </w:rPr>
              <w:t>尚未审结</w:t>
            </w:r>
          </w:p>
        </w:tc>
        <w:tc>
          <w:tcPr>
            <w:tcW w:w="658"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line="560" w:lineRule="exact"/>
              <w:jc w:val="center"/>
              <w:rPr>
                <w:sz w:val="24"/>
                <w:szCs w:val="24"/>
              </w:rPr>
            </w:pPr>
            <w:r>
              <w:rPr>
                <w:rFonts w:cs="宋体" w:hint="eastAsia"/>
                <w:kern w:val="0"/>
                <w:sz w:val="24"/>
                <w:szCs w:val="24"/>
              </w:rPr>
              <w:t>总计</w:t>
            </w:r>
          </w:p>
        </w:tc>
        <w:tc>
          <w:tcPr>
            <w:tcW w:w="2970"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line="560" w:lineRule="exact"/>
              <w:jc w:val="center"/>
              <w:rPr>
                <w:sz w:val="24"/>
                <w:szCs w:val="24"/>
              </w:rPr>
            </w:pPr>
            <w:r>
              <w:rPr>
                <w:rFonts w:cs="宋体" w:hint="eastAsia"/>
                <w:kern w:val="0"/>
                <w:sz w:val="24"/>
                <w:szCs w:val="24"/>
              </w:rPr>
              <w:t>未经复议直接起诉</w:t>
            </w:r>
          </w:p>
        </w:tc>
        <w:tc>
          <w:tcPr>
            <w:tcW w:w="3027"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line="560" w:lineRule="exact"/>
              <w:jc w:val="center"/>
              <w:rPr>
                <w:sz w:val="24"/>
                <w:szCs w:val="24"/>
              </w:rPr>
            </w:pPr>
            <w:r>
              <w:rPr>
                <w:rFonts w:cs="宋体" w:hint="eastAsia"/>
                <w:kern w:val="0"/>
                <w:sz w:val="24"/>
                <w:szCs w:val="24"/>
              </w:rPr>
              <w:t>复议后起诉</w:t>
            </w:r>
          </w:p>
        </w:tc>
      </w:tr>
      <w:tr>
        <w:tc>
          <w:tcPr>
            <w:tcW w:w="3074" w:type="dxa"/>
            <w:vMerge/>
            <w:tcBorders>
              <w:top w:val="nil"/>
              <w:left w:val="single" w:sz="8" w:space="0" w:color="auto"/>
              <w:bottom w:val="single" w:sz="8" w:space="0" w:color="auto"/>
              <w:right w:val="single" w:sz="8" w:space="0" w:color="auto"/>
            </w:tcBorders>
            <w:vAlign w:val="center"/>
          </w:tcPr>
          <w:p/>
        </w:tc>
        <w:tc>
          <w:tcPr>
            <w:tcW w:w="604" w:type="dxa"/>
            <w:vMerge/>
            <w:tcBorders>
              <w:top w:val="nil"/>
              <w:left w:val="nil"/>
              <w:bottom w:val="single" w:sz="8" w:space="0" w:color="auto"/>
              <w:right w:val="single" w:sz="8" w:space="0" w:color="auto"/>
            </w:tcBorders>
            <w:vAlign w:val="center"/>
          </w:tcPr>
          <w:p/>
        </w:tc>
        <w:tc>
          <w:tcPr>
            <w:tcW w:w="604" w:type="dxa"/>
            <w:vMerge/>
            <w:tcBorders>
              <w:top w:val="single" w:sz="8" w:space="0" w:color="auto"/>
              <w:left w:val="nil"/>
              <w:bottom w:val="single" w:sz="8" w:space="0" w:color="auto"/>
              <w:right w:val="single" w:sz="8" w:space="0" w:color="auto"/>
            </w:tcBorders>
            <w:vAlign w:val="center"/>
          </w:tcPr>
          <w:p/>
        </w:tc>
        <w:tc>
          <w:tcPr>
            <w:tcW w:w="604" w:type="dxa"/>
            <w:vMerge/>
            <w:tcBorders>
              <w:top w:val="single" w:sz="8" w:space="0" w:color="auto"/>
              <w:left w:val="nil"/>
              <w:bottom w:val="single" w:sz="8" w:space="0" w:color="auto"/>
              <w:right w:val="single" w:sz="8" w:space="0" w:color="auto"/>
            </w:tcBorders>
            <w:vAlign w:val="center"/>
          </w:tcPr>
          <w:p/>
        </w:tc>
        <w:tc>
          <w:tcPr>
            <w:tcW w:w="658" w:type="dxa"/>
            <w:vMerge/>
            <w:tcBorders>
              <w:top w:val="single" w:sz="8" w:space="0" w:color="auto"/>
              <w:left w:val="nil"/>
              <w:bottom w:val="single" w:sz="8" w:space="0" w:color="auto"/>
              <w:right w:val="single" w:sz="8" w:space="0" w:color="auto"/>
            </w:tcBorders>
            <w:vAlign w:val="center"/>
          </w:tcP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line="560" w:lineRule="exact"/>
              <w:jc w:val="center"/>
              <w:rPr>
                <w:sz w:val="24"/>
                <w:szCs w:val="24"/>
              </w:rPr>
            </w:pPr>
            <w:r>
              <w:rPr>
                <w:rFonts w:cs="宋体" w:hint="eastAsia"/>
                <w:kern w:val="0"/>
                <w:sz w:val="24"/>
                <w:szCs w:val="24"/>
              </w:rPr>
              <w:t>结果维持</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line="560" w:lineRule="exact"/>
              <w:jc w:val="center"/>
              <w:rPr>
                <w:sz w:val="24"/>
                <w:szCs w:val="24"/>
              </w:rPr>
            </w:pPr>
            <w:r>
              <w:rPr>
                <w:rFonts w:cs="宋体" w:hint="eastAsia"/>
                <w:kern w:val="0"/>
                <w:sz w:val="24"/>
                <w:szCs w:val="24"/>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line="560" w:lineRule="exact"/>
              <w:jc w:val="center"/>
              <w:rPr>
                <w:sz w:val="24"/>
                <w:szCs w:val="24"/>
              </w:rPr>
            </w:pPr>
            <w:r>
              <w:rPr>
                <w:rFonts w:cs="宋体" w:hint="eastAsia"/>
                <w:kern w:val="0"/>
                <w:sz w:val="24"/>
                <w:szCs w:val="24"/>
              </w:rPr>
              <w:t>其他结果</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line="560" w:lineRule="exact"/>
              <w:jc w:val="center"/>
              <w:rPr>
                <w:sz w:val="24"/>
                <w:szCs w:val="24"/>
              </w:rPr>
            </w:pPr>
            <w:r>
              <w:rPr>
                <w:rFonts w:cs="宋体" w:hint="eastAsia"/>
                <w:kern w:val="0"/>
                <w:sz w:val="24"/>
                <w:szCs w:val="24"/>
              </w:rPr>
              <w:t>尚未审结</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line="560" w:lineRule="exact"/>
              <w:jc w:val="center"/>
              <w:rPr>
                <w:sz w:val="24"/>
                <w:szCs w:val="24"/>
              </w:rPr>
            </w:pPr>
            <w:r>
              <w:rPr>
                <w:rFonts w:cs="宋体" w:hint="eastAsia"/>
                <w:kern w:val="0"/>
                <w:sz w:val="24"/>
                <w:szCs w:val="24"/>
              </w:rPr>
              <w:t>总计</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line="560" w:lineRule="exact"/>
              <w:jc w:val="center"/>
              <w:rPr>
                <w:sz w:val="24"/>
                <w:szCs w:val="24"/>
              </w:rPr>
            </w:pPr>
            <w:r>
              <w:rPr>
                <w:rFonts w:cs="宋体" w:hint="eastAsia"/>
                <w:kern w:val="0"/>
                <w:sz w:val="24"/>
                <w:szCs w:val="24"/>
              </w:rPr>
              <w:t>结果维持</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line="560" w:lineRule="exact"/>
              <w:jc w:val="center"/>
              <w:rPr>
                <w:sz w:val="24"/>
                <w:szCs w:val="24"/>
              </w:rPr>
            </w:pPr>
            <w:r>
              <w:rPr>
                <w:rFonts w:cs="宋体" w:hint="eastAsia"/>
                <w:kern w:val="0"/>
                <w:sz w:val="24"/>
                <w:szCs w:val="24"/>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line="560" w:lineRule="exact"/>
              <w:jc w:val="center"/>
              <w:rPr>
                <w:sz w:val="24"/>
                <w:szCs w:val="24"/>
              </w:rPr>
            </w:pPr>
            <w:r>
              <w:rPr>
                <w:rFonts w:cs="宋体" w:hint="eastAsia"/>
                <w:kern w:val="0"/>
                <w:sz w:val="24"/>
                <w:szCs w:val="24"/>
              </w:rPr>
              <w:t>其他结果</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line="560" w:lineRule="exact"/>
              <w:jc w:val="center"/>
              <w:rPr>
                <w:sz w:val="24"/>
                <w:szCs w:val="24"/>
              </w:rPr>
            </w:pPr>
            <w:r>
              <w:rPr>
                <w:rFonts w:cs="宋体" w:hint="eastAsia"/>
                <w:kern w:val="0"/>
                <w:sz w:val="24"/>
                <w:szCs w:val="24"/>
              </w:rPr>
              <w:t>尚未审结</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line="560" w:lineRule="exact"/>
              <w:jc w:val="center"/>
              <w:rPr>
                <w:sz w:val="24"/>
                <w:szCs w:val="24"/>
              </w:rPr>
            </w:pPr>
            <w:r>
              <w:rPr>
                <w:rFonts w:cs="宋体" w:hint="eastAsia"/>
                <w:kern w:val="0"/>
                <w:sz w:val="24"/>
                <w:szCs w:val="24"/>
              </w:rPr>
              <w:t>总计</w:t>
            </w:r>
          </w:p>
        </w:tc>
      </w:tr>
      <w:tr>
        <w:tc>
          <w:tcPr>
            <w:tcW w:w="604"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after="180" w:line="560" w:lineRule="exact"/>
              <w:jc w:val="center"/>
              <w:rPr>
                <w:sz w:val="28"/>
                <w:szCs w:val="28"/>
              </w:rPr>
            </w:pPr>
            <w:r>
              <w:rPr>
                <w:rFonts w:hint="eastAsia"/>
                <w:sz w:val="28"/>
                <w:szCs w:val="28"/>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after="180" w:line="560" w:lineRule="exact"/>
              <w:jc w:val="center"/>
              <w:rPr>
                <w:sz w:val="28"/>
                <w:szCs w:val="28"/>
              </w:rPr>
            </w:pPr>
            <w:r>
              <w:rPr>
                <w:rFonts w:hint="eastAsia"/>
                <w:sz w:val="28"/>
                <w:szCs w:val="28"/>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after="180" w:line="560" w:lineRule="exact"/>
              <w:jc w:val="center"/>
              <w:rPr>
                <w:sz w:val="28"/>
                <w:szCs w:val="28"/>
              </w:rPr>
            </w:pPr>
            <w:r>
              <w:rPr>
                <w:rFonts w:hint="eastAsia"/>
                <w:sz w:val="28"/>
                <w:szCs w:val="28"/>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after="180" w:line="560" w:lineRule="exact"/>
              <w:jc w:val="center"/>
              <w:rPr>
                <w:sz w:val="28"/>
                <w:szCs w:val="28"/>
              </w:rPr>
            </w:pPr>
            <w:r>
              <w:rPr>
                <w:rFonts w:hint="eastAsia"/>
                <w:sz w:val="28"/>
                <w:szCs w:val="28"/>
              </w:rPr>
              <w:t>0</w:t>
            </w:r>
          </w:p>
        </w:tc>
        <w:tc>
          <w:tcPr>
            <w:tcW w:w="658"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after="180" w:line="560" w:lineRule="exact"/>
              <w:jc w:val="center"/>
              <w:rPr>
                <w:sz w:val="28"/>
                <w:szCs w:val="28"/>
              </w:rPr>
            </w:pPr>
            <w:r>
              <w:rPr>
                <w:rFonts w:hint="eastAsia"/>
                <w:sz w:val="28"/>
                <w:szCs w:val="28"/>
              </w:rPr>
              <w:t>0</w:t>
            </w: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after="180" w:line="560" w:lineRule="exact"/>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after="180" w:line="560" w:lineRule="exact"/>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after="180" w:line="560" w:lineRule="exact"/>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after="180" w:line="560" w:lineRule="exact"/>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after="180" w:line="560" w:lineRule="exact"/>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after="180" w:line="560" w:lineRule="exact"/>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after="180" w:line="560" w:lineRule="exact"/>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after="180" w:line="560" w:lineRule="exact"/>
              <w:jc w:val="center"/>
              <w:rPr>
                <w:sz w:val="28"/>
                <w:szCs w:val="28"/>
              </w:rPr>
            </w:pPr>
            <w:r>
              <w:rPr>
                <w:rFonts w:hint="eastAsia"/>
                <w:sz w:val="28"/>
                <w:szCs w:val="28"/>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after="180" w:line="560" w:lineRule="exact"/>
              <w:jc w:val="center"/>
              <w:rPr>
                <w:kern w:val="0"/>
                <w:sz w:val="28"/>
                <w:szCs w:val="28"/>
              </w:rPr>
            </w:pPr>
            <w:r>
              <w:rPr>
                <w:rFonts w:hint="eastAsia"/>
                <w:kern w:val="0"/>
                <w:sz w:val="28"/>
                <w:szCs w:val="28"/>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spacing w:after="180" w:line="560" w:lineRule="exact"/>
              <w:jc w:val="center"/>
              <w:rPr>
                <w:kern w:val="0"/>
                <w:sz w:val="28"/>
                <w:szCs w:val="28"/>
              </w:rPr>
            </w:pPr>
            <w:r>
              <w:rPr>
                <w:rFonts w:hint="eastAsia"/>
                <w:kern w:val="0"/>
                <w:sz w:val="28"/>
                <w:szCs w:val="28"/>
              </w:rPr>
              <w:t>0</w:t>
            </w:r>
          </w:p>
        </w:tc>
      </w:tr>
    </w:tbl>
    <w:p>
      <w:pPr>
        <w:pStyle w:val="23"/>
        <w:spacing w:line="560" w:lineRule="exact"/>
        <w:ind w:firstLineChars="200" w:firstLine="640"/>
        <w:rPr>
          <w:rFonts w:ascii="Times New Roman" w:eastAsia="方正黑体_GBK" w:cs="宋体" w:hAnsi="Times New Roman"/>
          <w:color w:val="000000"/>
          <w:kern w:val="0"/>
          <w:sz w:val="32"/>
          <w:szCs w:val="32"/>
        </w:rPr>
      </w:pPr>
      <w:r>
        <w:rPr>
          <w:rFonts w:ascii="Times New Roman" w:eastAsia="方正黑体_GBK" w:cs="宋体" w:hAnsi="Times New Roman" w:hint="eastAsia"/>
          <w:color w:val="000000"/>
          <w:kern w:val="0"/>
          <w:sz w:val="32"/>
          <w:szCs w:val="32"/>
        </w:rPr>
        <w:t>五、存在的主要问题及改进方向</w:t>
      </w:r>
    </w:p>
    <w:p>
      <w:pPr>
        <w:spacing w:line="560" w:lineRule="exact"/>
        <w:ind w:firstLineChars="200" w:firstLine="640"/>
        <w:rPr>
          <w:rFonts w:ascii="Times New Roman" w:eastAsia="方正仿宋_GBK" w:cs="方正仿宋_GBK" w:hAnsi="Times New Roman"/>
          <w:sz w:val="32"/>
          <w:szCs w:val="32"/>
        </w:rPr>
      </w:pPr>
      <w:r>
        <w:rPr>
          <w:rFonts w:ascii="Times New Roman" w:eastAsia="方正楷体_GBK" w:cs="宋体" w:hAnsi="Times New Roman" w:hint="eastAsia"/>
          <w:color w:val="000000"/>
          <w:kern w:val="0"/>
          <w:sz w:val="32"/>
          <w:szCs w:val="32"/>
        </w:rPr>
        <w:t>（一）上年度存在主要问题的整改情况。</w:t>
      </w:r>
      <w:r>
        <w:rPr>
          <w:rFonts w:ascii="Times New Roman" w:eastAsia="方正仿宋_GBK" w:cs="Times New Roman" w:hAnsi="Times New Roman" w:hint="eastAsia"/>
          <w:sz w:val="32"/>
          <w:szCs w:val="32"/>
        </w:rPr>
        <w:t>上年度我关政府信息公开工作主要存在政策解读状况待深化、12360热线</w:t>
      </w:r>
      <w:r>
        <w:rPr>
          <w:rFonts w:ascii="Times New Roman" w:eastAsia="方正仿宋_GBK" w:cs="Times New Roman" w:hAnsi="Times New Roman"/>
          <w:sz w:val="32"/>
          <w:szCs w:val="32"/>
        </w:rPr>
        <w:t>新媒体</w:t>
      </w:r>
      <w:r>
        <w:rPr>
          <w:rFonts w:ascii="Times New Roman" w:eastAsia="方正仿宋_GBK" w:cs="Times New Roman" w:hAnsi="Times New Roman" w:hint="eastAsia"/>
          <w:sz w:val="32"/>
          <w:szCs w:val="32"/>
        </w:rPr>
        <w:t>有提升空间、政府信息公开审查制度待完善等问题。上述问题在2020年均已完成整改：一是制发石家庄海关2020年工作要点，对全年工作任务进行细化分解，明确责任部门，制定具体任务目标，并对半年、年终任务完成情况进行催办检查，全年共在</w:t>
      </w:r>
      <w:r>
        <w:rPr>
          <w:rFonts w:ascii="Times New Roman" w:eastAsia="方正仿宋_GBK" w:cs="Times New Roman" w:hAnsi="Times New Roman"/>
          <w:sz w:val="32"/>
          <w:szCs w:val="32"/>
        </w:rPr>
        <w:t>互联网</w:t>
      </w:r>
      <w:r>
        <w:rPr>
          <w:rFonts w:ascii="Times New Roman" w:eastAsia="方正仿宋_GBK" w:cs="Times New Roman" w:hAnsi="Times New Roman" w:hint="eastAsia"/>
          <w:sz w:val="32"/>
          <w:szCs w:val="32"/>
        </w:rPr>
        <w:t>门户网站、政务新媒体发布政策解读13篇。二是开通政府信息公开专用邮箱，完善政府信息公开受理渠道信息，确保政府信息公开申请电话畅通有效。三是针对我关12360热线</w:t>
      </w:r>
      <w:r>
        <w:rPr>
          <w:rFonts w:ascii="Times New Roman" w:eastAsia="方正仿宋_GBK" w:cs="Times New Roman" w:hAnsi="Times New Roman"/>
          <w:sz w:val="32"/>
          <w:szCs w:val="32"/>
        </w:rPr>
        <w:t>新媒体</w:t>
      </w:r>
      <w:r>
        <w:rPr>
          <w:rFonts w:ascii="Times New Roman" w:eastAsia="方正仿宋_GBK" w:cs="Times New Roman" w:hAnsi="Times New Roman" w:hint="eastAsia"/>
          <w:sz w:val="32"/>
          <w:szCs w:val="32"/>
        </w:rPr>
        <w:t>薄弱环节，积极向</w:t>
      </w:r>
      <w:r>
        <w:rPr>
          <w:rFonts w:ascii="Times New Roman" w:eastAsia="方正仿宋_GBK" w:cs="Times New Roman" w:hAnsi="Times New Roman"/>
          <w:sz w:val="32"/>
          <w:szCs w:val="32"/>
        </w:rPr>
        <w:t>海关</w:t>
      </w:r>
      <w:r>
        <w:rPr>
          <w:rFonts w:ascii="Times New Roman" w:eastAsia="方正仿宋_GBK" w:cs="Times New Roman" w:hAnsi="Times New Roman" w:hint="eastAsia"/>
          <w:sz w:val="32"/>
          <w:szCs w:val="32"/>
        </w:rPr>
        <w:t>总署12360海关热线公众号投稿，圆满完成了任务。四是修订完善《石家庄海关政府信息公开工作规程》和《石家庄海关政府信息公开审查规程》，进一步完善政府信息公开</w:t>
      </w:r>
      <w:r>
        <w:rPr>
          <w:rFonts w:ascii="Times New Roman" w:eastAsia="方正仿宋_GBK" w:cs="方正仿宋_GBK" w:hAnsi="Times New Roman" w:hint="eastAsia"/>
          <w:sz w:val="32"/>
          <w:szCs w:val="32"/>
        </w:rPr>
        <w:t>登记、审核、办理、答复、归档等工作要素。</w:t>
      </w:r>
    </w:p>
    <w:p>
      <w:pPr>
        <w:spacing w:line="560" w:lineRule="exact"/>
        <w:ind w:firstLineChars="200" w:firstLine="640"/>
        <w:rPr>
          <w:rFonts w:ascii="Times New Roman" w:eastAsia="方正仿宋_GBK" w:cs="Times New Roman" w:hAnsi="Times New Roman"/>
          <w:sz w:val="32"/>
          <w:szCs w:val="32"/>
        </w:rPr>
      </w:pPr>
      <w:r>
        <w:rPr>
          <w:rFonts w:ascii="Times New Roman" w:eastAsia="方正楷体_GBK" w:cs="方正仿宋_GBK" w:hAnsi="Times New Roman" w:hint="eastAsia"/>
          <w:sz w:val="32"/>
          <w:szCs w:val="32"/>
        </w:rPr>
        <w:t>（二）待改进问题。</w:t>
      </w:r>
      <w:r>
        <w:rPr>
          <w:rFonts w:ascii="Times New Roman" w:eastAsia="方正仿宋_GBK" w:cs="宋体" w:hAnsi="Times New Roman" w:hint="eastAsia"/>
          <w:color w:val="000000"/>
          <w:kern w:val="0"/>
          <w:sz w:val="32"/>
          <w:szCs w:val="32"/>
        </w:rPr>
        <w:t>一是政府信息公开管理工作仍需强化，明确各部门、单位在政府信息公开工作中的职责，提高各部门、单位在信息制作、信息公开工作中的责任意识。着力提升政府信息公开队伍的专业能力和服务水平。二是对隶属海关政府信息公开工作的指导和督促检查还不到位，下一步将重点督促指导隶属海关开展政府信息公开工作规范化、标准化建设。</w:t>
      </w:r>
    </w:p>
    <w:p>
      <w:pPr>
        <w:pStyle w:val="23"/>
        <w:spacing w:line="560" w:lineRule="exact"/>
        <w:ind w:firstLineChars="200" w:firstLine="640"/>
        <w:rPr>
          <w:rFonts w:ascii="Times New Roman" w:eastAsia="方正黑体_GBK" w:cs="Times New Roman" w:hAnsi="Times New Roman"/>
          <w:sz w:val="32"/>
          <w:szCs w:val="32"/>
        </w:rPr>
      </w:pPr>
      <w:r>
        <w:rPr>
          <w:rFonts w:ascii="Times New Roman" w:eastAsia="方正黑体_GBK" w:cs="Times New Roman" w:hAnsi="Times New Roman"/>
          <w:sz w:val="32"/>
          <w:szCs w:val="32"/>
        </w:rPr>
        <w:t>六、其他需要报告的事项</w:t>
      </w:r>
    </w:p>
    <w:p>
      <w:pPr>
        <w:pStyle w:val="23"/>
        <w:spacing w:line="560" w:lineRule="exact"/>
        <w:ind w:firstLineChars="200" w:firstLine="640"/>
        <w:rPr>
          <w:rFonts w:ascii="方正仿宋_GBK" w:eastAsia="方正仿宋_GBK" w:cs="Times New Roman"/>
          <w:sz w:val="32"/>
          <w:szCs w:val="32"/>
        </w:rPr>
      </w:pPr>
      <w:r>
        <w:rPr>
          <w:rFonts w:ascii="方正仿宋_GBK" w:eastAsia="方正仿宋_GBK" w:cs="Times New Roman" w:hint="eastAsia"/>
          <w:sz w:val="32"/>
          <w:szCs w:val="32"/>
        </w:rPr>
        <w:t>无。</w:t>
      </w:r>
    </w:p>
    <w:p>
      <w:pPr>
        <w:pStyle w:val="23"/>
        <w:spacing w:line="560" w:lineRule="exact"/>
        <w:ind w:firstLineChars="200" w:firstLine="640"/>
        <w:rPr>
          <w:rFonts w:ascii="方正仿宋_GBK" w:eastAsia="方正仿宋_GBK" w:cs="Times New Roman"/>
          <w:sz w:val="32"/>
          <w:szCs w:val="32"/>
        </w:rPr>
      </w:pPr>
    </w:p>
    <w:p>
      <w:pPr>
        <w:pStyle w:val="21"/>
        <w:widowControl w:val="0"/>
        <w:autoSpaceDN w:val="0"/>
        <w:spacing w:line="560" w:lineRule="exact"/>
        <w:jc w:val="both"/>
        <w:rPr>
          <w:rFonts w:eastAsia="方正仿宋_GBK"/>
          <w:sz w:val="32"/>
          <w:szCs w:val="32"/>
          <w:lang w:eastAsia="zh-CN"/>
        </w:rPr>
      </w:pP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方正黑体_GBK">
    <w:panose1 w:val="03000509000000000000"/>
    <w:charset w:val="86"/>
    <w:family w:val="script"/>
    <w:pitch w:val="variable"/>
    <w:sig w:usb0="00000001" w:usb1="080E0000" w:usb2="00000010" w:usb3="00000000" w:csb0="00040000" w:csb1="00000000"/>
  </w:font>
  <w:font w:name="方正仿宋_GBK">
    <w:altName w:val="Arial Unicode MS"/>
    <w:panose1 w:val="03000509000000000000"/>
    <w:charset w:val="86"/>
    <w:family w:val="script"/>
    <w:pitch w:val="variable"/>
    <w:sig w:usb0="00000001" w:usb1="080E0000" w:usb2="00000010" w:usb3="00000000" w:csb0="00040000" w:csb1="00000000"/>
  </w:font>
  <w:font w:name="方正楷体_GBK">
    <w:panose1 w:val="03000509000000000000"/>
    <w:charset w:val="86"/>
    <w:family w:val="script"/>
    <w:pitch w:val="variable"/>
    <w:sig w:usb0="00000001" w:usb1="080E0000" w:usb2="00000010" w:usb3="00000000" w:csb0="00040000" w:csb1="00000000"/>
  </w:font>
  <w:font w:name="楷体_GB2312">
    <w:altName w:val="楷体"/>
    <w:panose1 w:val="00000000000000000000"/>
    <w:charset w:val="86"/>
    <w:family w:val="auto"/>
    <w:pitch w:val="variable"/>
    <w:sig w:usb0="00000001" w:usb1="080E0000" w:usb2="00000000" w:usb3="00000000" w:csb0="00040000" w:csb1="00000000"/>
  </w:font>
  <w:font w:name="楷体">
    <w:panose1 w:val="02010609060101010101"/>
    <w:charset w:val="86"/>
    <w:family w:val="modern"/>
    <w:pitch w:val="variable"/>
    <w:sig w:usb0="800002BF" w:usb1="38CF7CFA" w:usb2="00000016" w:usb3="00000000" w:csb0="0004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character" w:default="1" w:styleId="10">
    <w:name w:val="Default Paragraph Font"/>
  </w:style>
  <w:style w:type="paragraph" w:styleId="15">
    <w:name w:val="header"/>
    <w:basedOn w:val="0"/>
    <w:pPr>
      <w:pBdr>
        <w:bottom w:val="single" w:sz="6" w:space="1" w:color="auto"/>
      </w:pBdr>
      <w:tabs>
        <w:tab w:val="center" w:pos="4153"/>
        <w:tab w:val="right" w:pos="8306"/>
      </w:tabs>
      <w:snapToGrid w:val="0"/>
      <w:jc w:val="center"/>
    </w:pPr>
    <w:rPr>
      <w:sz w:val="18"/>
      <w:szCs w:val="18"/>
    </w:rPr>
  </w:style>
  <w:style w:type="paragraph" w:styleId="16">
    <w:name w:val="footer"/>
    <w:basedOn w:val="0"/>
    <w:pPr>
      <w:tabs>
        <w:tab w:val="center" w:pos="4153"/>
        <w:tab w:val="right" w:pos="8306"/>
      </w:tabs>
      <w:snapToGrid w:val="0"/>
      <w:jc w:val="left"/>
    </w:pPr>
    <w:rPr>
      <w:sz w:val="18"/>
      <w:szCs w:val="18"/>
    </w:rPr>
  </w:style>
  <w:style w:type="character" w:customStyle="1" w:styleId="17">
    <w:name w:val="im-content1"/>
    <w:basedOn w:val="10"/>
    <w:rPr>
      <w:vanish w:val="0"/>
      <w:color w:val="000000"/>
    </w:rPr>
  </w:style>
  <w:style w:type="character" w:customStyle="1" w:styleId="18">
    <w:name w:val="im-content2"/>
    <w:basedOn w:val="10"/>
    <w:rPr>
      <w:vanish w:val="0"/>
      <w:color w:val="000000"/>
    </w:rPr>
  </w:style>
  <w:style w:type="paragraph" w:customStyle="1" w:styleId="19">
    <w:name w:val="样式 283 10 磅"/>
    <w:next w:val="20"/>
    <w:pPr>
      <w:jc w:val="both"/>
    </w:pPr>
    <w:rPr>
      <w:rFonts w:ascii="Times New Roman" w:eastAsia="方正仿宋_GBK" w:cs="Times New Roman" w:hAnsi="Times New Roman"/>
      <w:sz w:val="21"/>
      <w:szCs w:val="21"/>
      <w:lang w:val="en-US" w:eastAsia="zh-CN" w:bidi="ar-SA"/>
    </w:rPr>
  </w:style>
  <w:style w:type="paragraph" w:styleId="20">
    <w:name w:val="index 5"/>
    <w:basedOn w:val="0"/>
    <w:autoRedefine/>
    <w:next w:val="0"/>
    <w:pPr>
      <w:ind w:leftChars="800" w:left="800"/>
    </w:pPr>
  </w:style>
  <w:style w:type="paragraph" w:customStyle="1" w:styleId="21">
    <w:name w:val="样式 11 小四"/>
    <w:rPr>
      <w:rFonts w:ascii="Times New Roman" w:eastAsia="宋体" w:cs="Times New Roman" w:hAnsi="Times New Roman"/>
      <w:sz w:val="24"/>
      <w:szCs w:val="24"/>
      <w:lang w:val="en-US" w:eastAsia="en-US" w:bidi="ar-SA"/>
    </w:rPr>
  </w:style>
  <w:style w:type="paragraph" w:customStyle="1" w:styleId="22">
    <w:name w:val="样式 28 小四"/>
    <w:rPr>
      <w:rFonts w:ascii="Times New Roman" w:eastAsia="宋体" w:cs="Times New Roman" w:hAnsi="Times New Roman"/>
      <w:sz w:val="24"/>
      <w:szCs w:val="24"/>
      <w:lang w:val="en-US" w:eastAsia="en-US" w:bidi="ar-SA"/>
    </w:rPr>
  </w:style>
  <w:style w:type="paragraph" w:customStyle="1" w:styleId="23">
    <w:name w:val="样式 10 磅"/>
    <w:pPr>
      <w:widowControl w:val="0"/>
      <w:jc w:val="both"/>
    </w:pPr>
    <w:rPr>
      <w:rFonts w:ascii="Calibri" w:eastAsia="宋体" w:cs="Calibri" w:hAnsi="Calibri"/>
      <w:kern w:val="2"/>
      <w:sz w:val="21"/>
      <w:szCs w:val="21"/>
      <w:lang w:val="en-US" w:eastAsia="zh-CN" w:bidi="ar-SA"/>
    </w:rPr>
  </w:style>
  <w:style w:type="paragraph" w:styleId="24">
    <w:name w:val="Normal (Web)"/>
    <w:next w:val="16"/>
    <w:pPr>
      <w:widowControl w:val="0"/>
      <w:spacing w:before="100" w:beforeAutospacing="1" w:after="100" w:afterAutospacing="1"/>
    </w:pPr>
    <w:rPr>
      <w:rFonts w:ascii="Times New Roman" w:eastAsia="宋体" w:cs="Times New Roman" w:hAnsi="Times New Roman"/>
      <w:sz w:val="24"/>
      <w:szCs w:val="30"/>
      <w:lang w:val="en-US" w:eastAsia="zh-CN" w:bidi="ar-SA"/>
    </w:rPr>
  </w:style>
  <w:style w:type="paragraph" w:customStyle="1" w:styleId="25">
    <w:name w:val="样式 小三"/>
    <w:next w:val="27"/>
    <w:pPr>
      <w:widowControl w:val="0"/>
      <w:jc w:val="both"/>
    </w:pPr>
    <w:rPr>
      <w:rFonts w:ascii="Times New Roman" w:eastAsia="宋体" w:cs="Times New Roman" w:hAnsi="Times New Roman"/>
      <w:kern w:val="2"/>
      <w:sz w:val="30"/>
      <w:szCs w:val="30"/>
      <w:lang w:val="en-US" w:eastAsia="zh-CN" w:bidi="ar-SA"/>
    </w:rPr>
  </w:style>
  <w:style w:type="paragraph" w:customStyle="1" w:styleId="26">
    <w:name w:val="样式 50 三号"/>
    <w:next w:val="28"/>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styleId="27">
    <w:name w:val="toc 2"/>
    <w:basedOn w:val="0"/>
    <w:autoRedefine/>
    <w:next w:val="0"/>
    <w:pPr>
      <w:ind w:leftChars="200" w:left="200"/>
    </w:pPr>
  </w:style>
  <w:style w:type="paragraph" w:styleId="28">
    <w:name w:val="index 6"/>
    <w:basedOn w:val="0"/>
    <w:autoRedefine/>
    <w:next w:val="0"/>
    <w:pPr>
      <w:ind w:leftChars="1000" w:left="1000"/>
    </w:pPr>
  </w:style>
  <w:style w:type="paragraph" w:customStyle="1" w:styleId="29">
    <w:name w:val="样式 1 小四"/>
    <w:next w:val="0"/>
    <w:pPr>
      <w:widowControl w:val="0"/>
    </w:pPr>
    <w:rPr>
      <w:rFonts w:ascii="宋体" w:eastAsia="宋体" w:cs="Times New Roman"/>
      <w:kern w:val="2"/>
      <w:sz w:val="24"/>
      <w:lang w:val="en-US" w:eastAsia="zh-CN" w:bidi="ar-SA"/>
    </w:rPr>
  </w:style>
  <w:style w:type="paragraph" w:customStyle="1" w:styleId="30">
    <w:name w:val="样式 15 三号"/>
    <w:next w:val="16"/>
    <w:pPr>
      <w:widowControl w:val="0"/>
      <w:jc w:val="both"/>
    </w:pPr>
    <w:rPr>
      <w:rFonts w:ascii="Times New Roman" w:eastAsia="方正仿宋_GBK" w:cs="Times New Roman" w:hAnsi="Times New Roman"/>
      <w:kern w:val="2"/>
      <w:sz w:val="32"/>
      <w:szCs w:val="28"/>
      <w:lang w:val="en-US" w:eastAsia="zh-CN" w:bidi="ar-SA"/>
    </w:rPr>
  </w:style>
  <w:style w:type="paragraph" w:styleId="31">
    <w:name w:val="Balloon Text"/>
    <w:basedOn w:val="0"/>
    <w:rPr>
      <w:sz w:val="18"/>
      <w:szCs w:val="18"/>
    </w:rPr>
  </w:style>
  <w:style w:type="paragraph" w:customStyle="1" w:styleId="32">
    <w:name w:val="List Paragraph"/>
    <w:basedOn w:val="0"/>
    <w:pPr>
      <w:ind w:firstLineChars="200" w:firstLine="200"/>
    </w:pPr>
  </w:style>
  <w:style w:type="paragraph" w:customStyle="1" w:styleId="33">
    <w:name w:val="样式 7 三号"/>
    <w:next w:val="16"/>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91</TotalTime>
  <Application>Yozo_Office</Application>
  <Pages>9</Pages>
  <Words>3375</Words>
  <Characters>3531</Characters>
  <Lines>479</Lines>
  <Paragraphs>316</Paragraphs>
  <CharactersWithSpaces>3531</CharactersWithSpaces>
  <Company>Customs</Company>
</Properties>
</file>

<file path=docProps/core.xml><?xml version="1.0" encoding="utf-8"?>
<cp:coreProperties xmlns:cp="http://schemas.openxmlformats.org/package/2006/metadata/core-properties" xmlns:dc="http://purl.org/dc/elements/1.1/" xmlns:dcterms="http://purl.org/dc/terms/" xmlns:xsi="http://www.w3.org/2001/XMLSchema-instance">
  <dc:creator>陈雪静</dc:creator>
  <cp:lastModifiedBy>张楠</cp:lastModifiedBy>
  <cp:revision>56</cp:revision>
  <dcterms:created xsi:type="dcterms:W3CDTF">2021-02-18T02:18:00Z</dcterms:created>
  <dcterms:modified xsi:type="dcterms:W3CDTF">2022-07-18T07:05:30Z</dcterms:modified>
</cp:coreProperties>
</file>